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CA" w:rsidRPr="00C30E81" w:rsidRDefault="00BF51CA" w:rsidP="00BF51C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285</w:t>
      </w:r>
      <w:r w:rsidRPr="00C30E81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Pr="00C30E81">
        <w:rPr>
          <w:rFonts w:ascii="Times New Roman" w:hAnsi="Times New Roman"/>
          <w:sz w:val="24"/>
          <w:szCs w:val="24"/>
          <w:lang w:val="sr-Cyrl-RS"/>
        </w:rPr>
        <w:t>. новембар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30E8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83A7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9824DE" w:rsidRPr="0005637E" w:rsidRDefault="00BF51CA" w:rsidP="0005637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93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ФИНАНСИЈЕ,РЕПУБЛИЧКИ  БУЏЕТ И КОНТРОЛУ ТРОШЕЊА ЈАВНИХ СРЕДСТАВА, ОДРЖАНЕ </w:t>
      </w:r>
      <w:r>
        <w:rPr>
          <w:rFonts w:ascii="Times New Roman" w:hAnsi="Times New Roman"/>
          <w:sz w:val="24"/>
          <w:szCs w:val="24"/>
        </w:rPr>
        <w:t>18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CB677E">
        <w:rPr>
          <w:rFonts w:ascii="Times New Roman" w:hAnsi="Times New Roman"/>
          <w:sz w:val="24"/>
          <w:szCs w:val="24"/>
          <w:lang w:val="sr-Cyrl-RS"/>
        </w:rPr>
        <w:t>НОВ</w:t>
      </w:r>
      <w:r w:rsidR="00AD5485">
        <w:rPr>
          <w:rFonts w:ascii="Times New Roman" w:hAnsi="Times New Roman"/>
          <w:sz w:val="24"/>
          <w:szCs w:val="24"/>
          <w:lang w:val="sr-Cyrl-RS"/>
        </w:rPr>
        <w:t>ЕМБРА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D51E93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1E93" w:rsidRPr="009824DE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119E" w:rsidRPr="00A9119E" w:rsidRDefault="00E83A7C" w:rsidP="00BF51C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CB677E">
        <w:rPr>
          <w:rFonts w:ascii="Times New Roman" w:hAnsi="Times New Roman"/>
          <w:sz w:val="24"/>
          <w:szCs w:val="24"/>
          <w:lang w:val="sr-Cyrl-RS"/>
        </w:rPr>
        <w:t>3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BF51CA">
        <w:rPr>
          <w:rFonts w:ascii="Times New Roman" w:hAnsi="Times New Roman"/>
          <w:sz w:val="24"/>
          <w:szCs w:val="24"/>
        </w:rPr>
        <w:t>35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0B547B" w:rsidRPr="009824DE" w:rsidRDefault="00E83A7C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Седницом је председава</w:t>
      </w:r>
      <w:r w:rsidR="004D61E0">
        <w:rPr>
          <w:rFonts w:ascii="Times New Roman" w:hAnsi="Times New Roman"/>
          <w:sz w:val="24"/>
          <w:szCs w:val="24"/>
          <w:lang w:val="sr-Cyrl-RS"/>
        </w:rPr>
        <w:t>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09FC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D21361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2B13BB" w:rsidRDefault="00525082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чланови Одбора: </w:t>
      </w:r>
      <w:r w:rsidR="00CB677E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Зоран Бојанић,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Соња Влаховић,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CB677E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480">
        <w:rPr>
          <w:rFonts w:ascii="Times New Roman" w:hAnsi="Times New Roman"/>
          <w:sz w:val="24"/>
          <w:szCs w:val="24"/>
          <w:lang w:val="sr-Cyrl-RS"/>
        </w:rPr>
        <w:t>Милорад Мирчић,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Александар Стевановић,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др Милорад Мијатовић, 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>Момо Чолаковић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 w:rsidR="00D21361">
        <w:rPr>
          <w:rFonts w:ascii="Times New Roman" w:hAnsi="Times New Roman"/>
          <w:sz w:val="24"/>
          <w:szCs w:val="24"/>
          <w:lang w:val="sr-Cyrl-RS"/>
        </w:rPr>
        <w:t>Милан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7BE6">
        <w:rPr>
          <w:rFonts w:ascii="Times New Roman" w:hAnsi="Times New Roman"/>
          <w:sz w:val="24"/>
          <w:szCs w:val="24"/>
          <w:lang w:val="sr-Cyrl-RS"/>
        </w:rPr>
        <w:t>Лапчевић</w:t>
      </w:r>
      <w:r w:rsidR="00BF51CA">
        <w:rPr>
          <w:rFonts w:ascii="Times New Roman" w:hAnsi="Times New Roman"/>
          <w:sz w:val="24"/>
          <w:szCs w:val="24"/>
          <w:lang w:val="sr-Cyrl-RS"/>
        </w:rPr>
        <w:t>,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0B8F">
        <w:rPr>
          <w:rFonts w:ascii="Times New Roman" w:hAnsi="Times New Roman"/>
          <w:sz w:val="24"/>
          <w:szCs w:val="24"/>
          <w:lang w:val="sr-Cyrl-RS"/>
        </w:rPr>
        <w:t>Војислав Вујић</w:t>
      </w:r>
      <w:r w:rsidR="00CB677E" w:rsidRP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677E">
        <w:rPr>
          <w:rFonts w:ascii="Times New Roman" w:hAnsi="Times New Roman"/>
          <w:sz w:val="24"/>
          <w:szCs w:val="24"/>
          <w:lang w:val="sr-Cyrl-RS"/>
        </w:rPr>
        <w:t>и Золтан Пек.</w:t>
      </w:r>
    </w:p>
    <w:p w:rsidR="00BF51CA" w:rsidRDefault="00BF51CA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Зоран Деспотовић (заменик члана Одбора Миљана Дамјановића).</w:t>
      </w:r>
    </w:p>
    <w:p w:rsidR="00BF51CA" w:rsidRDefault="00BF51CA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/>
          <w:sz w:val="24"/>
          <w:szCs w:val="24"/>
          <w:lang w:val="sr-Cyrl-RS"/>
        </w:rPr>
        <w:t>ни</w:t>
      </w:r>
      <w:r w:rsidRPr="009824DE">
        <w:rPr>
          <w:rFonts w:ascii="Times New Roman" w:hAnsi="Times New Roman"/>
          <w:sz w:val="24"/>
          <w:szCs w:val="24"/>
          <w:lang w:val="sr-Cyrl-RS"/>
        </w:rPr>
        <w:t>су присуствовали чланови Одбора</w:t>
      </w:r>
      <w:r>
        <w:rPr>
          <w:rFonts w:ascii="Times New Roman" w:hAnsi="Times New Roman"/>
          <w:sz w:val="24"/>
          <w:szCs w:val="24"/>
          <w:lang w:val="sr-Cyrl-RS"/>
        </w:rPr>
        <w:t>: Душан Бајатовић и Горан Ћирић, нити њихови заменици.</w:t>
      </w:r>
    </w:p>
    <w:p w:rsidR="00EC2E96" w:rsidRPr="00BF51CA" w:rsidRDefault="00EC2E96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и: Снежана Богосављевић Бошковић и Ђорђе Вукадиновић, народни посланици.</w:t>
      </w:r>
    </w:p>
    <w:p w:rsidR="00A9119E" w:rsidRPr="00BB0BD5" w:rsidRDefault="0005637E" w:rsidP="00BB0BD5">
      <w:pPr>
        <w:ind w:firstLine="720"/>
        <w:jc w:val="both"/>
        <w:rPr>
          <w:lang w:val="en-GB"/>
        </w:rPr>
      </w:pPr>
      <w:r w:rsidRPr="00601AA2">
        <w:rPr>
          <w:lang w:val="sr-Cyrl-RS"/>
        </w:rPr>
        <w:t xml:space="preserve">Седници су присуствовали: </w:t>
      </w:r>
      <w:r w:rsidR="00BF2480" w:rsidRPr="00601AA2">
        <w:rPr>
          <w:lang w:val="sr-Cyrl-RS"/>
        </w:rPr>
        <w:t xml:space="preserve">Синиша Мали, министар финансија; </w:t>
      </w:r>
      <w:r w:rsidR="005A7BE6" w:rsidRPr="00601AA2">
        <w:rPr>
          <w:lang w:val="sr-Cyrl-RS"/>
        </w:rPr>
        <w:t>Јелена Танасковић, државни секретар у Министарству финансија</w:t>
      </w:r>
      <w:r w:rsidR="00523285" w:rsidRPr="00601AA2">
        <w:rPr>
          <w:lang w:val="sr-Cyrl-RS"/>
        </w:rPr>
        <w:t>;</w:t>
      </w:r>
      <w:r w:rsidR="00BF2480" w:rsidRPr="00601AA2">
        <w:rPr>
          <w:lang w:val="sr-Cyrl-RS"/>
        </w:rPr>
        <w:t xml:space="preserve"> </w:t>
      </w:r>
      <w:r w:rsidR="00601AA2" w:rsidRPr="00601AA2">
        <w:rPr>
          <w:lang w:val="sr-Cyrl-RS"/>
        </w:rPr>
        <w:t>Дарко Комненић</w:t>
      </w:r>
      <w:r w:rsidR="00601AA2" w:rsidRPr="00601AA2">
        <w:rPr>
          <w:lang w:val="en-GB"/>
        </w:rPr>
        <w:t xml:space="preserve">, </w:t>
      </w:r>
      <w:r w:rsidR="00601AA2" w:rsidRPr="00601AA2">
        <w:rPr>
          <w:lang w:val="sr-Cyrl-RS"/>
        </w:rPr>
        <w:t>в</w:t>
      </w:r>
      <w:r w:rsidR="00601AA2" w:rsidRPr="00601AA2">
        <w:t>.</w:t>
      </w:r>
      <w:r w:rsidR="00601AA2" w:rsidRPr="00601AA2">
        <w:rPr>
          <w:lang w:val="sr-Cyrl-RS"/>
        </w:rPr>
        <w:t>д</w:t>
      </w:r>
      <w:r w:rsidR="00601AA2" w:rsidRPr="00601AA2">
        <w:t>.</w:t>
      </w:r>
      <w:r w:rsidR="00601AA2" w:rsidRPr="00601AA2">
        <w:rPr>
          <w:lang w:val="sr-Cyrl-RS"/>
        </w:rPr>
        <w:t xml:space="preserve"> помоћник министра за Сектор буџета</w:t>
      </w:r>
      <w:r w:rsidR="00601AA2">
        <w:rPr>
          <w:lang w:val="sr-Cyrl-RS"/>
        </w:rPr>
        <w:t xml:space="preserve">; </w:t>
      </w:r>
      <w:r w:rsidR="00601AA2" w:rsidRPr="00601AA2">
        <w:rPr>
          <w:lang w:val="sr-Cyrl-RS"/>
        </w:rPr>
        <w:t>Милеса Марјановић</w:t>
      </w:r>
      <w:r w:rsidR="00601AA2" w:rsidRPr="00601AA2">
        <w:rPr>
          <w:b/>
          <w:lang w:val="sr-Cyrl-RS"/>
        </w:rPr>
        <w:t xml:space="preserve">, </w:t>
      </w:r>
      <w:r w:rsidR="00601AA2" w:rsidRPr="00601AA2">
        <w:rPr>
          <w:lang w:val="sr-Cyrl-RS"/>
        </w:rPr>
        <w:t>начелник Одељења буџета</w:t>
      </w:r>
      <w:r w:rsidR="00BF2480" w:rsidRPr="0005637E">
        <w:rPr>
          <w:lang w:val="sr-Cyrl-RS"/>
        </w:rPr>
        <w:t xml:space="preserve">; </w:t>
      </w:r>
      <w:r w:rsidR="00C16759" w:rsidRPr="0005637E">
        <w:rPr>
          <w:lang w:val="sr-Cyrl-RS"/>
        </w:rPr>
        <w:t>Павле Петровић, председник Фискалног савета; Никола Алтипармаков и Владимир Вучковић, чланови Фискалног савета</w:t>
      </w:r>
      <w:r w:rsidR="00601AA2">
        <w:rPr>
          <w:lang w:val="sr-Cyrl-RS"/>
        </w:rPr>
        <w:t xml:space="preserve"> и</w:t>
      </w:r>
      <w:r w:rsidR="00C16759" w:rsidRPr="0005637E">
        <w:rPr>
          <w:lang w:val="sr-Cyrl-RS"/>
        </w:rPr>
        <w:t xml:space="preserve"> Данко Брчеревић, главни </w:t>
      </w:r>
      <w:r w:rsidR="00601AA2">
        <w:rPr>
          <w:lang w:val="sr-Cyrl-RS"/>
        </w:rPr>
        <w:t>економиста Фискалног савета</w:t>
      </w:r>
      <w:r w:rsidR="00F43FE8" w:rsidRPr="0005637E">
        <w:rPr>
          <w:lang w:val="sr-Cyrl-RS"/>
        </w:rPr>
        <w:t>.</w:t>
      </w:r>
    </w:p>
    <w:p w:rsidR="00D51E93" w:rsidRPr="0005637E" w:rsidRDefault="00E83A7C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AC5267">
        <w:rPr>
          <w:rFonts w:ascii="Times New Roman" w:hAnsi="Times New Roman"/>
          <w:sz w:val="24"/>
          <w:szCs w:val="24"/>
          <w:lang w:val="sr-Cyrl-RS"/>
        </w:rPr>
        <w:t>већином гласова (</w:t>
      </w:r>
      <w:r w:rsidR="00F973A7">
        <w:rPr>
          <w:rFonts w:ascii="Times New Roman" w:hAnsi="Times New Roman"/>
          <w:sz w:val="24"/>
          <w:szCs w:val="24"/>
          <w:lang w:val="sr-Cyrl-RS"/>
        </w:rPr>
        <w:t>12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за, </w:t>
      </w:r>
      <w:r w:rsidR="00F973A7">
        <w:rPr>
          <w:rFonts w:ascii="Times New Roman" w:hAnsi="Times New Roman"/>
          <w:sz w:val="24"/>
          <w:szCs w:val="24"/>
          <w:lang w:val="sr-Cyrl-RS"/>
        </w:rPr>
        <w:t>троје није гласало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утврдио следећи     </w:t>
      </w:r>
    </w:p>
    <w:p w:rsidR="00A769F3" w:rsidRDefault="00A769F3" w:rsidP="009824DE">
      <w:pPr>
        <w:jc w:val="center"/>
        <w:rPr>
          <w:lang w:val="ru-RU"/>
        </w:rPr>
      </w:pPr>
    </w:p>
    <w:p w:rsidR="0026727B" w:rsidRDefault="0026727B" w:rsidP="009824DE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BB0BD5" w:rsidRPr="00C30E81" w:rsidRDefault="00F100A7" w:rsidP="00BB0BD5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 xml:space="preserve">         </w:t>
      </w:r>
      <w:r w:rsidR="00C67FDB">
        <w:t xml:space="preserve"> </w:t>
      </w:r>
      <w:r w:rsidR="00BB0BD5">
        <w:rPr>
          <w:rStyle w:val="colornavy1"/>
          <w:color w:val="000000"/>
        </w:rPr>
        <w:t>1.</w:t>
      </w:r>
      <w:r w:rsidR="00BB0BD5" w:rsidRPr="00C30E81">
        <w:t xml:space="preserve"> </w:t>
      </w:r>
      <w:r w:rsidR="00BB0BD5" w:rsidRPr="00C30E81">
        <w:rPr>
          <w:lang w:val="sr-Cyrl-RS"/>
        </w:rPr>
        <w:t>Разматрање Предлога</w:t>
      </w:r>
      <w:r w:rsidR="00BB0BD5" w:rsidRPr="00C30E81">
        <w:t xml:space="preserve"> закона o</w:t>
      </w:r>
      <w:r w:rsidR="00BB0BD5">
        <w:t xml:space="preserve"> буџету Републике Србије за 20</w:t>
      </w:r>
      <w:r w:rsidR="00BB0BD5">
        <w:rPr>
          <w:lang w:val="sr-Cyrl-RS"/>
        </w:rPr>
        <w:t>20</w:t>
      </w:r>
      <w:r w:rsidR="00BB0BD5" w:rsidRPr="00C30E81">
        <w:t>. годину</w:t>
      </w:r>
      <w:r w:rsidR="00BB0BD5" w:rsidRPr="00C30E81">
        <w:rPr>
          <w:lang w:val="sr-Cyrl-RS"/>
        </w:rPr>
        <w:t>,</w:t>
      </w:r>
      <w:r w:rsidR="00BB0BD5" w:rsidRPr="00C30E81">
        <w:t xml:space="preserve">  </w:t>
      </w:r>
      <w:r w:rsidR="00BB0BD5" w:rsidRPr="00C30E81">
        <w:rPr>
          <w:lang w:val="sr-Cyrl-CS"/>
        </w:rPr>
        <w:t xml:space="preserve">са </w:t>
      </w:r>
      <w:r w:rsidR="00BB0BD5" w:rsidRPr="00C30E81">
        <w:rPr>
          <w:lang w:val="sr-Cyrl-RS"/>
        </w:rPr>
        <w:t>П</w:t>
      </w:r>
      <w:r w:rsidR="00BB0BD5" w:rsidRPr="00C30E81">
        <w:rPr>
          <w:lang w:val="sr-Cyrl-CS"/>
        </w:rPr>
        <w:t>редлогом одлуке о давању сагласности на Финансијски план Републичког фонда за пензијско и</w:t>
      </w:r>
      <w:r w:rsidR="00BB0BD5">
        <w:rPr>
          <w:lang w:val="sr-Cyrl-CS"/>
        </w:rPr>
        <w:t xml:space="preserve"> инвалидско осигурање за 2020</w:t>
      </w:r>
      <w:r w:rsidR="00BB0BD5" w:rsidRPr="00C30E81">
        <w:rPr>
          <w:lang w:val="sr-Cyrl-CS"/>
        </w:rPr>
        <w:t xml:space="preserve">. годину, </w:t>
      </w:r>
      <w:r w:rsidR="00BB0BD5" w:rsidRPr="00C30E81">
        <w:rPr>
          <w:lang w:val="sr-Cyrl-RS"/>
        </w:rPr>
        <w:t>П</w:t>
      </w:r>
      <w:r w:rsidR="00BB0BD5" w:rsidRPr="00C30E81">
        <w:rPr>
          <w:lang w:val="sr-Cyrl-CS"/>
        </w:rPr>
        <w:t xml:space="preserve">редлогом одлуке о давању сагласности на Финансијски план Републичког фонда </w:t>
      </w:r>
      <w:r w:rsidR="00BB0BD5">
        <w:rPr>
          <w:lang w:val="sr-Cyrl-CS"/>
        </w:rPr>
        <w:t>за здравствено осигурање за 2020</w:t>
      </w:r>
      <w:r w:rsidR="00BB0BD5" w:rsidRPr="00C30E81">
        <w:rPr>
          <w:lang w:val="sr-Cyrl-CS"/>
        </w:rPr>
        <w:t>. годину,</w:t>
      </w:r>
      <w:r w:rsidR="00BB0BD5" w:rsidRPr="00C30E81">
        <w:rPr>
          <w:lang w:val="sr-Cyrl-RS"/>
        </w:rPr>
        <w:t xml:space="preserve"> П</w:t>
      </w:r>
      <w:r w:rsidR="00BB0BD5" w:rsidRPr="00C30E81">
        <w:rPr>
          <w:lang w:val="sr-Cyrl-CS"/>
        </w:rPr>
        <w:t>редлогом одлуке о давању сагласности на Финансијски план Национал</w:t>
      </w:r>
      <w:r w:rsidR="00BB0BD5">
        <w:rPr>
          <w:lang w:val="sr-Cyrl-CS"/>
        </w:rPr>
        <w:t>не службе за запошљавање за 2020</w:t>
      </w:r>
      <w:r w:rsidR="00BB0BD5" w:rsidRPr="00C30E81">
        <w:rPr>
          <w:lang w:val="sr-Cyrl-CS"/>
        </w:rPr>
        <w:t>. годину и</w:t>
      </w:r>
      <w:r w:rsidR="00BB0BD5" w:rsidRPr="00C30E81">
        <w:rPr>
          <w:lang w:val="sr-Cyrl-RS"/>
        </w:rPr>
        <w:t xml:space="preserve"> П</w:t>
      </w:r>
      <w:r w:rsidR="00BB0BD5" w:rsidRPr="00C30E81">
        <w:rPr>
          <w:lang w:val="sr-Cyrl-CS"/>
        </w:rPr>
        <w:t xml:space="preserve">редлогом одлуке о давању сагласности на Финансијски план </w:t>
      </w:r>
      <w:r w:rsidR="00BB0BD5" w:rsidRPr="00C30E81">
        <w:rPr>
          <w:lang w:val="sr-Cyrl-RS"/>
        </w:rPr>
        <w:t>Фонда за социјално осигурање војних осигураника</w:t>
      </w:r>
      <w:r w:rsidR="00BB0BD5">
        <w:rPr>
          <w:lang w:val="sr-Cyrl-CS"/>
        </w:rPr>
        <w:t xml:space="preserve"> за 2020</w:t>
      </w:r>
      <w:r w:rsidR="00BB0BD5" w:rsidRPr="00C30E81">
        <w:rPr>
          <w:lang w:val="sr-Cyrl-CS"/>
        </w:rPr>
        <w:t>. годину</w:t>
      </w:r>
      <w:r w:rsidR="00BB0BD5" w:rsidRPr="00C30E81">
        <w:rPr>
          <w:lang w:val="sr-Cyrl-RS"/>
        </w:rPr>
        <w:t>, који</w:t>
      </w:r>
      <w:r w:rsidR="00BB0BD5">
        <w:rPr>
          <w:lang w:val="sr-Cyrl-RS"/>
        </w:rPr>
        <w:t xml:space="preserve"> је поднела Влада (број 400-2730/19</w:t>
      </w:r>
      <w:r w:rsidR="00BB0BD5" w:rsidRPr="00C30E81">
        <w:rPr>
          <w:lang w:val="sr-Cyrl-RS"/>
        </w:rPr>
        <w:t xml:space="preserve"> од </w:t>
      </w:r>
      <w:r w:rsidR="00BB0BD5">
        <w:rPr>
          <w:lang w:val="sr-Cyrl-RS"/>
        </w:rPr>
        <w:t>4</w:t>
      </w:r>
      <w:r w:rsidR="00BB0BD5" w:rsidRPr="00C30E81">
        <w:t xml:space="preserve">. </w:t>
      </w:r>
      <w:r w:rsidR="00BB0BD5">
        <w:rPr>
          <w:lang w:val="sr-Cyrl-RS"/>
        </w:rPr>
        <w:t>новембра 2019</w:t>
      </w:r>
      <w:r w:rsidR="00BB0BD5" w:rsidRPr="00C30E81">
        <w:t>.</w:t>
      </w:r>
      <w:r w:rsidR="00BB0BD5" w:rsidRPr="00C30E81">
        <w:rPr>
          <w:lang w:val="sr-Cyrl-RS"/>
        </w:rPr>
        <w:t xml:space="preserve"> године)</w:t>
      </w:r>
      <w:r w:rsidR="00BB0BD5" w:rsidRPr="00C30E81">
        <w:t>,</w:t>
      </w:r>
      <w:r w:rsidR="00BB0BD5" w:rsidRPr="00C30E81">
        <w:rPr>
          <w:lang w:val="sr-Cyrl-RS"/>
        </w:rPr>
        <w:t xml:space="preserve"> </w:t>
      </w:r>
      <w:r w:rsidR="00BB0BD5" w:rsidRPr="00C30E81">
        <w:rPr>
          <w:rStyle w:val="colornavy"/>
          <w:lang w:val="sr-Cyrl-RS"/>
        </w:rPr>
        <w:t>у начелу;</w:t>
      </w:r>
    </w:p>
    <w:p w:rsidR="00BB0BD5" w:rsidRDefault="00BB0BD5" w:rsidP="00BB0BD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30E81">
        <w:rPr>
          <w:rStyle w:val="colornavy1"/>
          <w:color w:val="000000"/>
        </w:rPr>
        <w:tab/>
      </w:r>
      <w:r>
        <w:rPr>
          <w:lang w:val="sr-Cyrl-RS"/>
        </w:rPr>
        <w:t>2. Доношење одлуке о образовању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помоћи.</w:t>
      </w:r>
    </w:p>
    <w:p w:rsidR="007018D6" w:rsidRPr="007018D6" w:rsidRDefault="007018D6" w:rsidP="00BB0BD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ab/>
        <w:t xml:space="preserve">Пре преласка на рад по утврђеном дневном реду Одбор је већином гласова, усвојио записнике са 89. седнице Одбора (13 гласова за, </w:t>
      </w:r>
      <w:r w:rsidR="004B7C98">
        <w:rPr>
          <w:lang w:val="sr-Cyrl-RS"/>
        </w:rPr>
        <w:t>двоје</w:t>
      </w:r>
      <w:r>
        <w:rPr>
          <w:lang w:val="sr-Cyrl-RS"/>
        </w:rPr>
        <w:t xml:space="preserve"> није гласало), 90</w:t>
      </w:r>
      <w:r w:rsidR="00087736">
        <w:t>.</w:t>
      </w:r>
      <w:r>
        <w:rPr>
          <w:lang w:val="sr-Cyrl-RS"/>
        </w:rPr>
        <w:t xml:space="preserve"> и 91. седнице Одбора (12 за, </w:t>
      </w:r>
      <w:r w:rsidR="004B7C98">
        <w:rPr>
          <w:lang w:val="sr-Cyrl-RS"/>
        </w:rPr>
        <w:t>троје</w:t>
      </w:r>
      <w:r>
        <w:rPr>
          <w:lang w:val="sr-Cyrl-RS"/>
        </w:rPr>
        <w:t xml:space="preserve"> није гласало).</w:t>
      </w:r>
    </w:p>
    <w:p w:rsidR="007018D6" w:rsidRPr="007018D6" w:rsidRDefault="004A09FC" w:rsidP="007018D6">
      <w:pPr>
        <w:keepNext/>
        <w:ind w:firstLine="720"/>
        <w:jc w:val="both"/>
        <w:outlineLvl w:val="1"/>
        <w:rPr>
          <w:bCs/>
          <w:lang w:val="sr-Cyrl-RS"/>
        </w:rPr>
      </w:pPr>
      <w:r w:rsidRPr="007018D6">
        <w:rPr>
          <w:lang w:val="sr-Cyrl-RS"/>
        </w:rPr>
        <w:t xml:space="preserve">Александра Томић је обавестила чланове Одбора да су у складу </w:t>
      </w:r>
      <w:r w:rsidR="007018D6" w:rsidRPr="007018D6">
        <w:rPr>
          <w:bCs/>
          <w:lang w:val="sr-Cyrl-RS"/>
        </w:rPr>
        <w:t xml:space="preserve">са чланом 173. став 2. Пословника Народне скупштине, Одбору достављени извештаји следећих одбора који су разматрали Предлог закона о буџету за 2020. годину: </w:t>
      </w:r>
    </w:p>
    <w:p w:rsidR="007018D6" w:rsidRPr="00273797" w:rsidRDefault="007018D6" w:rsidP="007018D6">
      <w:pPr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73797">
        <w:rPr>
          <w:rFonts w:eastAsia="Calibri"/>
        </w:rPr>
        <w:t xml:space="preserve">- </w:t>
      </w:r>
      <w:r w:rsidRPr="00273797">
        <w:rPr>
          <w:rFonts w:eastAsia="Calibri"/>
          <w:lang w:val="sr-Cyrl-RS"/>
        </w:rPr>
        <w:t xml:space="preserve">Извештај </w:t>
      </w:r>
      <w:r w:rsidRPr="00273797">
        <w:rPr>
          <w:rFonts w:eastAsia="Calibri"/>
        </w:rPr>
        <w:t>Одбор</w:t>
      </w:r>
      <w:r w:rsidRPr="00273797">
        <w:rPr>
          <w:rFonts w:eastAsia="Calibri"/>
          <w:lang w:val="sr-Cyrl-RS"/>
        </w:rPr>
        <w:t>а</w:t>
      </w:r>
      <w:r w:rsidRPr="00273797">
        <w:rPr>
          <w:rFonts w:eastAsia="Calibri"/>
        </w:rPr>
        <w:t xml:space="preserve"> за пољопривреду, шумарство и водопривреду</w:t>
      </w:r>
      <w:r w:rsidRPr="00273797">
        <w:rPr>
          <w:rFonts w:eastAsia="Calibri"/>
          <w:lang w:val="sr-Cyrl-RS"/>
        </w:rPr>
        <w:t>, који</w:t>
      </w:r>
      <w:r w:rsidRPr="00273797">
        <w:rPr>
          <w:rFonts w:eastAsia="Calibri"/>
        </w:rPr>
        <w:t xml:space="preserve">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</w:t>
      </w:r>
      <w:r w:rsidRPr="00273797">
        <w:rPr>
          <w:rFonts w:eastAsia="Calibri"/>
          <w:lang w:val="sr-Cyrl-RS"/>
        </w:rPr>
        <w:t>20</w:t>
      </w:r>
      <w:r w:rsidRPr="00273797">
        <w:rPr>
          <w:rFonts w:eastAsia="Calibri"/>
        </w:rPr>
        <w:t>. годину, раздео 2</w:t>
      </w:r>
      <w:r w:rsidRPr="00273797">
        <w:rPr>
          <w:rFonts w:eastAsia="Calibri"/>
          <w:lang w:val="sr-Cyrl-RS"/>
        </w:rPr>
        <w:t>4</w:t>
      </w:r>
      <w:r w:rsidRPr="00273797">
        <w:rPr>
          <w:rFonts w:eastAsia="Calibri"/>
        </w:rPr>
        <w:t xml:space="preserve"> - Министарство пољопривреде</w:t>
      </w:r>
      <w:r w:rsidRPr="00273797">
        <w:rPr>
          <w:rFonts w:eastAsia="Calibri"/>
          <w:lang w:val="sr-Cyrl-RS"/>
        </w:rPr>
        <w:t>, шумарства и водопривреде</w:t>
      </w:r>
      <w:r w:rsidRPr="00273797">
        <w:rPr>
          <w:rFonts w:eastAsia="Calibri"/>
        </w:rPr>
        <w:t xml:space="preserve"> који је поднела Влада</w:t>
      </w:r>
      <w:r w:rsidRPr="00273797">
        <w:rPr>
          <w:rFonts w:eastAsia="Calibri"/>
          <w:sz w:val="22"/>
          <w:szCs w:val="22"/>
        </w:rPr>
        <w:t>.</w:t>
      </w:r>
    </w:p>
    <w:p w:rsidR="007018D6" w:rsidRPr="00273797" w:rsidRDefault="007018D6" w:rsidP="007018D6">
      <w:pPr>
        <w:ind w:firstLine="720"/>
        <w:jc w:val="both"/>
        <w:rPr>
          <w:rFonts w:eastAsia="Calibri"/>
          <w:lang w:val="sr-Cyrl-RS"/>
        </w:rPr>
      </w:pPr>
      <w:r w:rsidRPr="00273797">
        <w:rPr>
          <w:rFonts w:eastAsia="Calibri"/>
          <w:lang w:val="sr-Cyrl-RS"/>
        </w:rPr>
        <w:t>- Извештај Одбора за заштиту животне средине, који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2020. годину, Раздео 25- Министарство заштите животне средине.</w:t>
      </w:r>
    </w:p>
    <w:p w:rsidR="007018D6" w:rsidRPr="00273797" w:rsidRDefault="007018D6" w:rsidP="007018D6">
      <w:pPr>
        <w:ind w:firstLine="720"/>
        <w:jc w:val="both"/>
        <w:rPr>
          <w:rFonts w:eastAsia="Calibri"/>
          <w:lang w:val="sr-Cyrl-CS"/>
        </w:rPr>
      </w:pPr>
      <w:r w:rsidRPr="00273797">
        <w:rPr>
          <w:rFonts w:ascii="Calibri" w:eastAsia="Calibri" w:hAnsi="Calibri"/>
          <w:sz w:val="22"/>
          <w:szCs w:val="22"/>
        </w:rPr>
        <w:t xml:space="preserve">- </w:t>
      </w:r>
      <w:r w:rsidRPr="00273797">
        <w:rPr>
          <w:rFonts w:eastAsia="Calibri"/>
          <w:lang w:val="sr-Cyrl-CS"/>
        </w:rPr>
        <w:t>Извештај Одбора за рад, социјална питања, друштвену укљученост и смањење сиромаштва, који је одлучио да предложи Одбору за финансије, републички буџет и контролу трошења јавних средстава да прихвати</w:t>
      </w:r>
      <w:r w:rsidRPr="00273797">
        <w:rPr>
          <w:rFonts w:eastAsia="Calibri"/>
          <w:b/>
          <w:lang w:val="sr-Cyrl-CS"/>
        </w:rPr>
        <w:t xml:space="preserve"> </w:t>
      </w:r>
      <w:r w:rsidRPr="00273797">
        <w:rPr>
          <w:rFonts w:eastAsia="Calibri"/>
          <w:lang w:val="sr-Cyrl-CS"/>
        </w:rPr>
        <w:t>Предлог закона о буџету Републике Србије за 2020. годину – раздео 30 Министарство за рад, запошљавање, борачка и социјална питања,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годину, који је поднела Влада Републике Србије.</w:t>
      </w:r>
    </w:p>
    <w:p w:rsidR="007018D6" w:rsidRPr="00273797" w:rsidRDefault="007018D6" w:rsidP="007018D6">
      <w:pPr>
        <w:ind w:firstLine="720"/>
        <w:jc w:val="both"/>
        <w:rPr>
          <w:rFonts w:eastAsia="Calibri"/>
        </w:rPr>
      </w:pPr>
      <w:r w:rsidRPr="00273797">
        <w:rPr>
          <w:rFonts w:ascii="Calibri" w:eastAsia="Calibri" w:hAnsi="Calibri"/>
          <w:sz w:val="22"/>
          <w:szCs w:val="22"/>
          <w:lang w:val="sr-Cyrl-CS"/>
        </w:rPr>
        <w:t xml:space="preserve">- </w:t>
      </w:r>
      <w:r w:rsidRPr="00273797">
        <w:rPr>
          <w:rFonts w:eastAsia="Calibri"/>
          <w:lang w:val="sr-Cyrl-CS"/>
        </w:rPr>
        <w:t>Извештај Одбора за здравље и породицу, који је</w:t>
      </w:r>
      <w:r w:rsidRPr="00273797">
        <w:rPr>
          <w:rFonts w:eastAsia="Calibri"/>
          <w:bCs/>
          <w:lang w:val="ru-RU"/>
        </w:rPr>
        <w:t xml:space="preserve"> одлучио</w:t>
      </w:r>
      <w:r w:rsidRPr="00273797">
        <w:rPr>
          <w:rFonts w:eastAsia="Calibri"/>
          <w:bCs/>
          <w:lang w:val="sr-Cyrl-RS"/>
        </w:rPr>
        <w:t xml:space="preserve"> </w:t>
      </w:r>
      <w:r w:rsidRPr="00273797">
        <w:rPr>
          <w:rFonts w:eastAsia="Calibri"/>
          <w:bCs/>
          <w:lang w:val="ru-RU"/>
        </w:rPr>
        <w:t xml:space="preserve">да предложи </w:t>
      </w:r>
      <w:r w:rsidRPr="00273797">
        <w:rPr>
          <w:rFonts w:eastAsia="Calibri"/>
          <w:bCs/>
        </w:rPr>
        <w:t>O</w:t>
      </w:r>
      <w:r w:rsidRPr="00273797">
        <w:rPr>
          <w:rFonts w:eastAsia="Calibri"/>
          <w:bCs/>
          <w:lang w:val="sr-Cyrl-RS"/>
        </w:rPr>
        <w:t>дбору за финансије, републички буџет и контролу трошења јавних средстава</w:t>
      </w:r>
      <w:r w:rsidRPr="00273797">
        <w:rPr>
          <w:rFonts w:eastAsia="Calibri"/>
          <w:bCs/>
          <w:lang w:val="ru-RU"/>
        </w:rPr>
        <w:t xml:space="preserve"> да прихвати  </w:t>
      </w:r>
      <w:r w:rsidRPr="00273797">
        <w:rPr>
          <w:rFonts w:eastAsia="Calibri"/>
          <w:lang w:val="sr-Cyrl-RS"/>
        </w:rPr>
        <w:t>Предлог закона о буџету Републике Србије за 2020. годину, Раздео 2</w:t>
      </w:r>
      <w:r w:rsidRPr="00273797">
        <w:rPr>
          <w:rFonts w:eastAsia="Calibri"/>
          <w:lang w:val="sr-Latn-RS"/>
        </w:rPr>
        <w:t>7</w:t>
      </w:r>
      <w:r w:rsidRPr="00273797">
        <w:rPr>
          <w:rFonts w:eastAsia="Calibri"/>
          <w:lang w:val="sr-Cyrl-RS"/>
        </w:rPr>
        <w:t xml:space="preserve"> - Министарство здравља, са Предлогом одлуке о давању сагласности на Финансијски план Републичког фонда за здравствено осигурање за 2020. годину, који је поднела Влада, </w:t>
      </w:r>
      <w:r w:rsidRPr="00273797">
        <w:rPr>
          <w:rFonts w:eastAsia="Calibri"/>
          <w:lang w:val="sr-Latn-RS"/>
        </w:rPr>
        <w:t>у начелу</w:t>
      </w:r>
      <w:r w:rsidRPr="00273797">
        <w:rPr>
          <w:rFonts w:eastAsia="Calibri"/>
        </w:rPr>
        <w:t>.</w:t>
      </w:r>
    </w:p>
    <w:p w:rsidR="007018D6" w:rsidRPr="00815E70" w:rsidRDefault="007018D6" w:rsidP="007018D6">
      <w:pPr>
        <w:ind w:firstLine="720"/>
        <w:jc w:val="both"/>
        <w:rPr>
          <w:rFonts w:eastAsia="Calibri"/>
          <w:lang w:val="sr-Cyrl-RS"/>
        </w:rPr>
      </w:pPr>
      <w:r w:rsidRPr="00815E70">
        <w:rPr>
          <w:rFonts w:eastAsia="Calibri"/>
          <w:lang w:val="sr-Cyrl-RS"/>
        </w:rPr>
        <w:t xml:space="preserve">-  Извештај Одбора за културу и информисање, који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2020. годину, Раздео 29 – Министарство културе и информисања. </w:t>
      </w:r>
    </w:p>
    <w:p w:rsidR="007018D6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815E70">
        <w:rPr>
          <w:rFonts w:eastAsia="Calibri"/>
          <w:color w:val="000000" w:themeColor="text1"/>
          <w:lang w:val="sr-Cyrl-RS"/>
        </w:rPr>
        <w:t xml:space="preserve">- Извештај Одбора за привреду, регионални развој, трговину, туризам и енергетику, </w:t>
      </w:r>
      <w:r w:rsidRPr="00815E70">
        <w:rPr>
          <w:rFonts w:eastAsia="Calibri"/>
          <w:color w:val="000000" w:themeColor="text1"/>
        </w:rPr>
        <w:t>који је  одлучио</w:t>
      </w:r>
      <w:r w:rsidRPr="00815E70">
        <w:rPr>
          <w:rFonts w:eastAsia="Calibri"/>
          <w:color w:val="000000" w:themeColor="text1"/>
          <w:lang w:val="sr-Cyrl-RS"/>
        </w:rPr>
        <w:t xml:space="preserve"> већином гласова</w:t>
      </w:r>
      <w:r w:rsidRPr="00815E70">
        <w:rPr>
          <w:rFonts w:eastAsia="Calibri"/>
          <w:color w:val="000000" w:themeColor="text1"/>
        </w:rPr>
        <w:t xml:space="preserve"> да предложи Одбору за финансије, републички буџет и контролу трошења јавних средстава да прихвати</w:t>
      </w:r>
      <w:r w:rsidRPr="00815E70">
        <w:rPr>
          <w:rFonts w:eastAsia="Calibri"/>
          <w:color w:val="000000" w:themeColor="text1"/>
          <w:lang w:val="sr-Cyrl-RS"/>
        </w:rPr>
        <w:t xml:space="preserve"> Предлог закона о буџету Републике Србије за 2020.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у начелу.</w:t>
      </w:r>
    </w:p>
    <w:p w:rsidR="004B7C98" w:rsidRDefault="004B7C98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4B7C98" w:rsidRDefault="004B7C98" w:rsidP="004B7C98">
      <w:pPr>
        <w:ind w:firstLine="720"/>
        <w:rPr>
          <w:lang w:val="sr-Cyrl-RS"/>
        </w:rPr>
      </w:pPr>
      <w:r>
        <w:rPr>
          <w:lang w:val="sr-Cyrl-RS"/>
        </w:rPr>
        <w:t xml:space="preserve">Александра Томић је подсетила да, по </w:t>
      </w:r>
      <w:r w:rsidRPr="004B7C98">
        <w:rPr>
          <w:lang w:val="sr-Cyrl-RS"/>
        </w:rPr>
        <w:t>члану 75.</w:t>
      </w:r>
      <w:r>
        <w:rPr>
          <w:lang w:val="sr-Cyrl-RS"/>
        </w:rPr>
        <w:t xml:space="preserve"> Пословника Народне скупштине:</w:t>
      </w:r>
    </w:p>
    <w:p w:rsidR="004B7C98" w:rsidRDefault="004B7C98" w:rsidP="004B7C98">
      <w:pPr>
        <w:ind w:firstLine="720"/>
        <w:rPr>
          <w:lang w:val="sr-Cyrl-RS"/>
        </w:rPr>
      </w:pPr>
    </w:p>
    <w:p w:rsidR="004B7C98" w:rsidRPr="000308F9" w:rsidRDefault="004B7C98" w:rsidP="004B7C98">
      <w:pPr>
        <w:numPr>
          <w:ilvl w:val="0"/>
          <w:numId w:val="16"/>
        </w:numPr>
        <w:jc w:val="both"/>
        <w:rPr>
          <w:rFonts w:eastAsia="Calibri"/>
        </w:rPr>
      </w:pPr>
      <w:r w:rsidRPr="000308F9">
        <w:rPr>
          <w:rFonts w:eastAsia="Calibri"/>
        </w:rPr>
        <w:t>Члан одбора има право да говори укупно до десет минута.</w:t>
      </w:r>
    </w:p>
    <w:p w:rsidR="004B7C98" w:rsidRPr="000308F9" w:rsidRDefault="004B7C98" w:rsidP="004B7C98">
      <w:pPr>
        <w:numPr>
          <w:ilvl w:val="0"/>
          <w:numId w:val="16"/>
        </w:numPr>
        <w:jc w:val="both"/>
        <w:rPr>
          <w:rFonts w:eastAsia="Calibri"/>
        </w:rPr>
      </w:pPr>
      <w:r w:rsidRPr="000308F9">
        <w:rPr>
          <w:rFonts w:eastAsia="Calibri"/>
        </w:rPr>
        <w:t>Предлагач закона и другог општег акта, односно овлашћени представник предлагача, има право да говори укупно до 20 минута.</w:t>
      </w:r>
    </w:p>
    <w:p w:rsidR="004B7C98" w:rsidRPr="000308F9" w:rsidRDefault="004B7C98" w:rsidP="004B7C98">
      <w:pPr>
        <w:numPr>
          <w:ilvl w:val="0"/>
          <w:numId w:val="16"/>
        </w:numPr>
        <w:jc w:val="both"/>
        <w:rPr>
          <w:rFonts w:eastAsia="Calibri"/>
        </w:rPr>
      </w:pPr>
      <w:r w:rsidRPr="000308F9">
        <w:rPr>
          <w:rFonts w:eastAsia="Calibri"/>
        </w:rPr>
        <w:lastRenderedPageBreak/>
        <w:t>Председник одбора, као учесник у претресу, има право да говори као и члан одбора.</w:t>
      </w:r>
    </w:p>
    <w:p w:rsidR="004B7C98" w:rsidRPr="004B7C98" w:rsidRDefault="004B7C98" w:rsidP="004B7C98">
      <w:pPr>
        <w:numPr>
          <w:ilvl w:val="0"/>
          <w:numId w:val="16"/>
        </w:numPr>
        <w:jc w:val="both"/>
        <w:rPr>
          <w:rFonts w:eastAsia="Calibri"/>
        </w:rPr>
      </w:pPr>
      <w:r w:rsidRPr="000308F9">
        <w:rPr>
          <w:rFonts w:eastAsia="Calibri"/>
          <w:lang w:val="sr-Cyrl-RS"/>
        </w:rPr>
        <w:t>Други народни посланик који није члан Одбора такође има право да говори до десет минута, а самостални народни посланик до пет минута.</w:t>
      </w:r>
    </w:p>
    <w:p w:rsidR="004B7C98" w:rsidRDefault="004B7C98" w:rsidP="004B7C98">
      <w:pPr>
        <w:ind w:left="720"/>
        <w:jc w:val="both"/>
        <w:rPr>
          <w:rFonts w:eastAsia="Calibri"/>
          <w:lang w:val="sr-Cyrl-RS"/>
        </w:rPr>
      </w:pPr>
    </w:p>
    <w:p w:rsidR="004B7C98" w:rsidRPr="000308F9" w:rsidRDefault="004B7C98" w:rsidP="004B7C98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Милорад Мирчић је</w:t>
      </w:r>
      <w:r w:rsidR="007251BC">
        <w:rPr>
          <w:rFonts w:eastAsia="Calibri"/>
        </w:rPr>
        <w:t>,</w:t>
      </w:r>
      <w:r>
        <w:rPr>
          <w:rFonts w:eastAsia="Calibri"/>
          <w:lang w:val="sr-Cyrl-RS"/>
        </w:rPr>
        <w:t xml:space="preserve"> подсетивши да је на Седници Народне скупштине удвостручено време за расправу по овој тачки дневног реда, предложио да се у складу са тим и на седници Одбора удвостручи време за расправу. Одбор је већином гласова (11 за, четири нису гласала) прихватио овај предлог.</w:t>
      </w:r>
    </w:p>
    <w:p w:rsidR="004B7C98" w:rsidRDefault="004B7C98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7018D6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7018D6" w:rsidRDefault="007018D6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  <w:r w:rsidRPr="009D4752">
        <w:rPr>
          <w:b/>
          <w:u w:val="single"/>
        </w:rPr>
        <w:t>П</w:t>
      </w:r>
      <w:r w:rsidRPr="009D4752">
        <w:rPr>
          <w:b/>
          <w:u w:val="single"/>
          <w:lang w:val="sr-Cyrl-RS"/>
        </w:rPr>
        <w:t>РВА ТАЧКА ДНЕВНОГ РЕДА</w:t>
      </w:r>
      <w:r w:rsidRPr="009D4752">
        <w:rPr>
          <w:b/>
        </w:rPr>
        <w:t>:</w:t>
      </w:r>
      <w:r w:rsidRPr="00640F99">
        <w:t xml:space="preserve"> </w:t>
      </w:r>
      <w:r w:rsidRPr="009D4752">
        <w:rPr>
          <w:lang w:val="sr-Cyrl-RS"/>
        </w:rPr>
        <w:t>Разматрање Предлога</w:t>
      </w:r>
      <w:r w:rsidRPr="002577DA">
        <w:t xml:space="preserve"> закона o</w:t>
      </w:r>
      <w:r>
        <w:t xml:space="preserve"> буџету Републике Србије за 20</w:t>
      </w:r>
      <w:r w:rsidRPr="009D4752">
        <w:rPr>
          <w:lang w:val="sr-Cyrl-RS"/>
        </w:rPr>
        <w:t>20</w:t>
      </w:r>
      <w:r w:rsidRPr="002577DA">
        <w:t>. годину</w:t>
      </w:r>
      <w:r w:rsidRPr="009D4752">
        <w:rPr>
          <w:lang w:val="sr-Cyrl-RS"/>
        </w:rPr>
        <w:t>,</w:t>
      </w:r>
      <w:r w:rsidRPr="002577DA">
        <w:t xml:space="preserve">  </w:t>
      </w:r>
      <w:r w:rsidRPr="009D4752">
        <w:rPr>
          <w:lang w:val="sr-Cyrl-CS"/>
        </w:rPr>
        <w:t xml:space="preserve">са </w:t>
      </w:r>
      <w:r w:rsidRPr="009D4752">
        <w:rPr>
          <w:lang w:val="sr-Cyrl-RS"/>
        </w:rPr>
        <w:t>П</w:t>
      </w:r>
      <w:r w:rsidRPr="009D4752">
        <w:rPr>
          <w:lang w:val="sr-Cyrl-CS"/>
        </w:rPr>
        <w:t xml:space="preserve">редлогом одлуке о давању сагласности на Финансијски план Републичког фонда за пензијско и инвалидско осигурање за 2020. годину, </w:t>
      </w:r>
      <w:r w:rsidRPr="009D4752">
        <w:rPr>
          <w:lang w:val="sr-Cyrl-RS"/>
        </w:rPr>
        <w:t>П</w:t>
      </w:r>
      <w:r w:rsidRPr="009D4752">
        <w:rPr>
          <w:lang w:val="sr-Cyrl-CS"/>
        </w:rPr>
        <w:t>редлогом одлуке о давању сагласности на Финансијски план Републичког фонда за здравствено осигурање за 2020. годину,</w:t>
      </w:r>
      <w:r w:rsidRPr="009D4752">
        <w:rPr>
          <w:lang w:val="sr-Cyrl-RS"/>
        </w:rPr>
        <w:t xml:space="preserve"> П</w:t>
      </w:r>
      <w:r w:rsidRPr="009D4752">
        <w:rPr>
          <w:lang w:val="sr-Cyrl-CS"/>
        </w:rPr>
        <w:t>редлогом одлуке о давању сагласности на Финансијски план Националне службе за запошљавање за 2020. годину и</w:t>
      </w:r>
      <w:r w:rsidRPr="009D4752">
        <w:rPr>
          <w:lang w:val="sr-Cyrl-RS"/>
        </w:rPr>
        <w:t xml:space="preserve"> П</w:t>
      </w:r>
      <w:r w:rsidRPr="009D4752">
        <w:rPr>
          <w:lang w:val="sr-Cyrl-CS"/>
        </w:rPr>
        <w:t xml:space="preserve">редлогом одлуке о давању сагласности на Финансијски план </w:t>
      </w:r>
      <w:r w:rsidRPr="009D4752">
        <w:rPr>
          <w:lang w:val="sr-Cyrl-RS"/>
        </w:rPr>
        <w:t>Фонда за социјално осигурање војних осигураника</w:t>
      </w:r>
      <w:r w:rsidRPr="009D4752">
        <w:rPr>
          <w:lang w:val="sr-Cyrl-CS"/>
        </w:rPr>
        <w:t xml:space="preserve"> за 2020. годину</w:t>
      </w:r>
      <w:r w:rsidRPr="009D4752">
        <w:rPr>
          <w:lang w:val="sr-Cyrl-RS"/>
        </w:rPr>
        <w:t>, који је поднела Влада (број 400-2730/19 од 4</w:t>
      </w:r>
      <w:r w:rsidRPr="002577DA">
        <w:t xml:space="preserve">. </w:t>
      </w:r>
      <w:r w:rsidRPr="009D4752">
        <w:rPr>
          <w:lang w:val="sr-Cyrl-RS"/>
        </w:rPr>
        <w:t>новембра 2019</w:t>
      </w:r>
      <w:r w:rsidRPr="002577DA">
        <w:t>.</w:t>
      </w:r>
      <w:r w:rsidRPr="009D4752">
        <w:rPr>
          <w:lang w:val="sr-Cyrl-RS"/>
        </w:rPr>
        <w:t xml:space="preserve"> године)</w:t>
      </w:r>
      <w:r>
        <w:t>,</w:t>
      </w:r>
      <w:r w:rsidRPr="009D4752">
        <w:rPr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</w:p>
    <w:p w:rsidR="00DD623A" w:rsidRDefault="00DD623A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</w:p>
    <w:p w:rsidR="00DD623A" w:rsidRDefault="00DD623A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 xml:space="preserve">           У уводном излагању, Синиша Мали, министар финансија истакао је да је </w:t>
      </w:r>
      <w:r w:rsidR="00621F6E">
        <w:rPr>
          <w:rStyle w:val="colornavy"/>
        </w:rPr>
        <w:t>M</w:t>
      </w:r>
      <w:r>
        <w:rPr>
          <w:rStyle w:val="colornavy"/>
          <w:lang w:val="sr-Cyrl-RS"/>
        </w:rPr>
        <w:t>инистарство следило две основне смернице приликом састављања Предлога закона о буџету за 2020. годину. То су: даље повећање животног стандарда становништва и убрзање привредног раста. У вези са повећањем животног стандарда становништва, донета је одлука о повећању плата у јавном сектору од 8-15% и та одлука је већ на снази од 1. новембра. Повећање пензија по тзв. швајцарском моделу</w:t>
      </w:r>
      <w:r w:rsidR="001127B8">
        <w:rPr>
          <w:rStyle w:val="colornavy"/>
          <w:lang w:val="sr-Cyrl-RS"/>
        </w:rPr>
        <w:t xml:space="preserve">, ступа на снагу од 1. јануара 2020. године и износи 5,4%. Донета је одлука и о повећању минималне цене рада са 27022 дин. на 30022 дин. и то је до сада највеће повећање минималне цене рада. Када је у питању убрзање привредног раста, стратегија се састоји од два дела. Први део односи се на повећање јавних инвестиција, док је други фискално растерећење привреде. У 2020. години обезбеђен је раст јавних инвестиција у износу од 40 милијарди динара, са 220 на 260 милијарди динара. </w:t>
      </w:r>
      <w:r w:rsidR="00556050">
        <w:rPr>
          <w:rStyle w:val="colornavy"/>
          <w:lang w:val="sr-Cyrl-RS"/>
        </w:rPr>
        <w:t>Најзначајнији пројекат је Моравски коридор, као и даље ја</w:t>
      </w:r>
      <w:r w:rsidR="00E97003">
        <w:rPr>
          <w:rStyle w:val="colornavy"/>
          <w:lang w:val="sr-Cyrl-RS"/>
        </w:rPr>
        <w:t>ч</w:t>
      </w:r>
      <w:r w:rsidR="00556050">
        <w:rPr>
          <w:rStyle w:val="colornavy"/>
          <w:lang w:val="sr-Cyrl-RS"/>
        </w:rPr>
        <w:t>ање путне, железничке и саобраћајне инфраструктуре. Подсетио је да је у претходном периоду већ изграђено 320 км аутопутева.</w:t>
      </w:r>
      <w:r w:rsidR="00E72F64">
        <w:rPr>
          <w:rStyle w:val="colornavy"/>
          <w:lang w:val="sr-Cyrl-RS"/>
        </w:rPr>
        <w:t xml:space="preserve"> Фискално растерећење привреде</w:t>
      </w:r>
      <w:bookmarkStart w:id="0" w:name="_GoBack"/>
      <w:bookmarkEnd w:id="0"/>
      <w:r w:rsidR="00E72F64">
        <w:rPr>
          <w:rStyle w:val="colornavy"/>
          <w:lang w:val="sr-Cyrl-RS"/>
        </w:rPr>
        <w:t xml:space="preserve"> се односи пре свега на даље смањење пореза на зараде, како би се подстакло запошљавање и привреда учинила конкурентнијом. У овој години ефекат тог смањења износи 13,1 милијарду динара. Подсетио је на резултате фискалне консолидације, да је држава пре пет година била пред банкротом, а сада већ трећу годину остварује суфицит буџета. Стопа незапослености је са скоро 26%, пала на 10,3% и очекује се њен даљи пад. За 2020. годину пројектовани дефицит републичког буџета је 0,3%, а на нивоу опште државе 0,5%. Пре пет година дефицит је износио 6,6% БДП-а. Заустављен је раст јавног дуга који је износио око 75%,  а сада је 51%</w:t>
      </w:r>
      <w:r w:rsidR="00185E23">
        <w:rPr>
          <w:rStyle w:val="colornavy"/>
          <w:lang w:val="sr-Cyrl-RS"/>
        </w:rPr>
        <w:t xml:space="preserve"> БДП-а, са тенденцијом даљег пада. Пројектована стопа раста у 2020. години је 4%, док ће за ову годину премашити пројектованих 3,5%.  Велики део привредног раста обезбеђен је путем страних директних инвестиција, које су у прва три квартала ове године за 43% већа од планираних.</w:t>
      </w:r>
    </w:p>
    <w:p w:rsidR="00C0411E" w:rsidRDefault="00C0411E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lastRenderedPageBreak/>
        <w:t xml:space="preserve">               Павле Петровић је истакао да је основна замерка Фискалног савета на Предлог закона о буџету прекомеран раст плата у јавном сектору. Тиме се, по његовим речима, </w:t>
      </w:r>
      <w:r w:rsidR="00E7405C">
        <w:rPr>
          <w:rStyle w:val="colornavy"/>
          <w:lang w:val="sr-Cyrl-RS"/>
        </w:rPr>
        <w:t>„</w:t>
      </w:r>
      <w:r>
        <w:rPr>
          <w:rStyle w:val="colornavy"/>
          <w:lang w:val="sr-Cyrl-RS"/>
        </w:rPr>
        <w:t>поткопава</w:t>
      </w:r>
      <w:r w:rsidR="006F744D">
        <w:rPr>
          <w:rStyle w:val="colornavy"/>
        </w:rPr>
        <w:t>”</w:t>
      </w:r>
      <w:r>
        <w:rPr>
          <w:rStyle w:val="colornavy"/>
          <w:lang w:val="sr-Cyrl-RS"/>
        </w:rPr>
        <w:t xml:space="preserve"> економски раст српске привреде и животни стандард становништва.</w:t>
      </w:r>
      <w:r w:rsidR="006750F1">
        <w:rPr>
          <w:rStyle w:val="colornavy"/>
          <w:lang w:val="sr-Cyrl-RS"/>
        </w:rPr>
        <w:t xml:space="preserve"> Уколико се занемари раст плата, преостала средства су добро распоређена, буџетски дефицит од 0,3% је добро пројектован и требало би да допринесе даљем паду јавног дуга. Уколико се у 2020. години оствари суфицит, предлог Фискалног савета је да се инвестира у инфраструктуру, а не у потрошњу. Он је похвалио даље смањење пореза на зараде са 6</w:t>
      </w:r>
      <w:r w:rsidR="00621F6E">
        <w:rPr>
          <w:rStyle w:val="colornavy"/>
        </w:rPr>
        <w:t>2</w:t>
      </w:r>
      <w:r w:rsidR="006750F1">
        <w:rPr>
          <w:rStyle w:val="colornavy"/>
          <w:lang w:val="sr-Cyrl-RS"/>
        </w:rPr>
        <w:t xml:space="preserve">% на 61% и нагласио да је предлог Фискалног савета био да пореско оптерећење на зараде износи 58%, јер би то био значајан подстицај привреди. Проблем је што у </w:t>
      </w:r>
      <w:r w:rsidR="002C02A0">
        <w:rPr>
          <w:rStyle w:val="colornavy"/>
          <w:lang w:val="sr-Cyrl-RS"/>
        </w:rPr>
        <w:t>б</w:t>
      </w:r>
      <w:r w:rsidR="006750F1">
        <w:rPr>
          <w:rStyle w:val="colornavy"/>
          <w:lang w:val="sr-Cyrl-RS"/>
        </w:rPr>
        <w:t>уџету нису експлицитно предвиђене инвестиције у комуналну инфраструктуру</w:t>
      </w:r>
      <w:r w:rsidR="002C02A0">
        <w:rPr>
          <w:rStyle w:val="colornavy"/>
          <w:lang w:val="sr-Cyrl-RS"/>
        </w:rPr>
        <w:t>, тј. водоводну и канализациону мрежу и пречишћавање отпадних вода и то би требало да буде приоритет.</w:t>
      </w:r>
    </w:p>
    <w:p w:rsidR="00EA6776" w:rsidRDefault="00EA6776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Синиша Мали је</w:t>
      </w:r>
      <w:r w:rsidR="00E7405C">
        <w:rPr>
          <w:rStyle w:val="colornavy"/>
          <w:lang w:val="sr-Cyrl-RS"/>
        </w:rPr>
        <w:t xml:space="preserve"> захвалио Фискалном савету на сугестијама и</w:t>
      </w:r>
      <w:r>
        <w:rPr>
          <w:rStyle w:val="colornavy"/>
          <w:lang w:val="sr-Cyrl-RS"/>
        </w:rPr>
        <w:t xml:space="preserve"> одговорио да су инвестиције у комуналну инфрастуктуру у надлежности локалних самоуправа и да не могу бити у републичком буџету. Држава ће свакако помоћи ове инвестиције и за то је</w:t>
      </w:r>
      <w:r w:rsidR="00E7405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предви</w:t>
      </w:r>
      <w:r w:rsidR="00E7405C">
        <w:rPr>
          <w:rStyle w:val="colornavy"/>
          <w:lang w:val="sr-Cyrl-RS"/>
        </w:rPr>
        <w:t>ђ</w:t>
      </w:r>
      <w:r>
        <w:rPr>
          <w:rStyle w:val="colornavy"/>
          <w:lang w:val="sr-Cyrl-RS"/>
        </w:rPr>
        <w:t>ена кредитна линија</w:t>
      </w:r>
      <w:r w:rsidR="00621F6E">
        <w:rPr>
          <w:rStyle w:val="colornavy"/>
        </w:rPr>
        <w:t>,</w:t>
      </w:r>
      <w:r>
        <w:rPr>
          <w:rStyle w:val="colornavy"/>
          <w:lang w:val="sr-Cyrl-RS"/>
        </w:rPr>
        <w:t xml:space="preserve"> која се може видети у члану 3. Предлога закона о буџету.</w:t>
      </w:r>
      <w:r w:rsidR="006F744D">
        <w:rPr>
          <w:rStyle w:val="colornavy"/>
          <w:lang w:val="sr-Cyrl-RS"/>
        </w:rPr>
        <w:t xml:space="preserve"> Што се тиче критика о повећању плата, министар је подсетио да повећање није обезбеђено из кредита, већ из </w:t>
      </w:r>
      <w:r w:rsidR="00B35C1C">
        <w:rPr>
          <w:rStyle w:val="colornavy"/>
          <w:lang w:val="sr-Cyrl-RS"/>
        </w:rPr>
        <w:t>реалних извора, тако што је део</w:t>
      </w:r>
      <w:r w:rsidR="006F744D">
        <w:rPr>
          <w:rStyle w:val="colornavy"/>
          <w:lang w:val="sr-Cyrl-RS"/>
        </w:rPr>
        <w:t xml:space="preserve"> буџетских средстава</w:t>
      </w:r>
      <w:r w:rsidR="00B35C1C">
        <w:rPr>
          <w:rStyle w:val="colornavy"/>
          <w:lang w:val="sr-Cyrl-RS"/>
        </w:rPr>
        <w:t xml:space="preserve"> преусмерен у раст плата</w:t>
      </w:r>
      <w:r w:rsidR="006F744D">
        <w:rPr>
          <w:rStyle w:val="colornavy"/>
          <w:lang w:val="sr-Cyrl-RS"/>
        </w:rPr>
        <w:t>. Изнео је податке да плате чине 9,5% БДП, док је просек за ЕУ 9,9%, док за земље региона које су чланице ЕУ</w:t>
      </w:r>
      <w:r w:rsidR="00621F6E">
        <w:rPr>
          <w:rStyle w:val="colornavy"/>
        </w:rPr>
        <w:t>,</w:t>
      </w:r>
      <w:r w:rsidR="006F744D">
        <w:rPr>
          <w:rStyle w:val="colornavy"/>
          <w:lang w:val="sr-Cyrl-RS"/>
        </w:rPr>
        <w:t xml:space="preserve"> тај просек износи преко 11%.</w:t>
      </w:r>
    </w:p>
    <w:p w:rsidR="006F744D" w:rsidRPr="00F9293C" w:rsidRDefault="006F744D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</w:t>
      </w:r>
      <w:r>
        <w:rPr>
          <w:lang w:val="sr-Cyrl-RS"/>
        </w:rPr>
        <w:t>Снежана Богосављевић Бошковић</w:t>
      </w:r>
      <w:r w:rsidR="006C5887">
        <w:rPr>
          <w:lang w:val="sr-Cyrl-RS"/>
        </w:rPr>
        <w:t xml:space="preserve"> </w:t>
      </w:r>
      <w:r w:rsidRPr="00273797">
        <w:rPr>
          <w:rFonts w:eastAsia="Calibri"/>
          <w:lang w:val="sr-Cyrl-RS"/>
        </w:rPr>
        <w:t xml:space="preserve">је </w:t>
      </w:r>
      <w:r w:rsidR="006C5887">
        <w:rPr>
          <w:rFonts w:eastAsia="Calibri"/>
          <w:lang w:val="sr-Cyrl-RS"/>
        </w:rPr>
        <w:t>известила</w:t>
      </w:r>
      <w:r w:rsidRPr="00273797">
        <w:rPr>
          <w:rFonts w:eastAsia="Calibri"/>
          <w:lang w:val="sr-Cyrl-RS"/>
        </w:rPr>
        <w:t xml:space="preserve"> Одбор за финансије, републички буџет и контролу трошења јавних средстава да </w:t>
      </w:r>
      <w:r w:rsidR="006C5887">
        <w:rPr>
          <w:rFonts w:eastAsia="Calibri"/>
          <w:lang w:val="sr-Cyrl-RS"/>
        </w:rPr>
        <w:t xml:space="preserve">је </w:t>
      </w:r>
      <w:r w:rsidR="006C5887" w:rsidRPr="00273797">
        <w:rPr>
          <w:rFonts w:eastAsia="Calibri"/>
          <w:lang w:val="sr-Cyrl-RS"/>
        </w:rPr>
        <w:t xml:space="preserve">Одбор за заштиту животне средине </w:t>
      </w:r>
      <w:r w:rsidRPr="00273797">
        <w:rPr>
          <w:rFonts w:eastAsia="Calibri"/>
          <w:lang w:val="sr-Cyrl-RS"/>
        </w:rPr>
        <w:t>прихвати</w:t>
      </w:r>
      <w:r w:rsidR="006C5887">
        <w:rPr>
          <w:rFonts w:eastAsia="Calibri"/>
          <w:lang w:val="sr-Cyrl-RS"/>
        </w:rPr>
        <w:t>о</w:t>
      </w:r>
      <w:r w:rsidRPr="00273797">
        <w:rPr>
          <w:rFonts w:eastAsia="Calibri"/>
          <w:lang w:val="sr-Cyrl-RS"/>
        </w:rPr>
        <w:t xml:space="preserve"> у начелу Предлог закона о буџету Републике Србије за 2020. годину, Раздео 25- Министарство заштите животне средине.</w:t>
      </w:r>
      <w:r w:rsidR="00F9293C">
        <w:rPr>
          <w:rFonts w:eastAsia="Calibri"/>
        </w:rPr>
        <w:t xml:space="preserve"> </w:t>
      </w:r>
      <w:r w:rsidR="00F9293C">
        <w:rPr>
          <w:rFonts w:eastAsia="Calibri"/>
          <w:lang w:val="sr-Cyrl-RS"/>
        </w:rPr>
        <w:t xml:space="preserve">Констатовано је да је повећање средстава за </w:t>
      </w:r>
      <w:r w:rsidR="00F9293C" w:rsidRPr="00273797">
        <w:rPr>
          <w:rFonts w:eastAsia="Calibri"/>
          <w:lang w:val="sr-Cyrl-RS"/>
        </w:rPr>
        <w:t>Министарство заштите животне средине</w:t>
      </w:r>
      <w:r w:rsidR="00F9293C">
        <w:rPr>
          <w:rFonts w:eastAsia="Calibri"/>
          <w:lang w:val="sr-Cyrl-RS"/>
        </w:rPr>
        <w:t xml:space="preserve"> 1,7 милијарди динара, што је за око 27% више у односу на текућу годину. Највећи део тих средстава опредељен је за тзв. „Зелени фонд“.</w:t>
      </w:r>
    </w:p>
    <w:p w:rsidR="00100004" w:rsidRDefault="00447548" w:rsidP="007018D6">
      <w:pPr>
        <w:tabs>
          <w:tab w:val="left" w:pos="1418"/>
        </w:tabs>
        <w:spacing w:before="120" w:after="120"/>
        <w:jc w:val="both"/>
      </w:pPr>
      <w:r>
        <w:rPr>
          <w:rStyle w:val="colornavy"/>
          <w:lang w:val="sr-Cyrl-RS"/>
        </w:rPr>
        <w:t xml:space="preserve">             </w:t>
      </w:r>
      <w:r>
        <w:rPr>
          <w:lang w:val="sr-Cyrl-RS"/>
        </w:rPr>
        <w:t>Верољуб Арсић је истакао да Предлог закона о буџету представља континуитет у односу на претходне буџете. Такође, он је реалан, избалансиран и остварив. Смањење јавног дуга проширује могућности Владе Србије у наредним годинама. По његовим речима, незахвално је поредити резултате Србије са земљама централне и источне Европе, које су чланице ЕУ, које имају приступ европским фондовима. И поред тога</w:t>
      </w:r>
      <w:r w:rsidR="001028E8">
        <w:rPr>
          <w:lang w:val="sr-Cyrl-RS"/>
        </w:rPr>
        <w:t>,</w:t>
      </w:r>
      <w:r>
        <w:rPr>
          <w:lang w:val="sr-Cyrl-RS"/>
        </w:rPr>
        <w:t xml:space="preserve"> Србија остварује сличне или боље резултате.</w:t>
      </w:r>
      <w:r w:rsidR="001028E8">
        <w:rPr>
          <w:lang w:val="sr-Cyrl-RS"/>
        </w:rPr>
        <w:t xml:space="preserve"> Раст плата у јавном сектору је неопходан уколико држава жели квалитетну и савремену управу, здравствени систем, просвету и одбрану.</w:t>
      </w:r>
    </w:p>
    <w:p w:rsidR="00B952B5" w:rsidRPr="00A4191E" w:rsidRDefault="00100004" w:rsidP="007018D6">
      <w:pPr>
        <w:tabs>
          <w:tab w:val="left" w:pos="1418"/>
        </w:tabs>
        <w:spacing w:before="120" w:after="120"/>
        <w:jc w:val="both"/>
      </w:pPr>
      <w:r>
        <w:t xml:space="preserve">            </w:t>
      </w:r>
      <w:r>
        <w:rPr>
          <w:lang w:val="sr-Cyrl-RS"/>
        </w:rPr>
        <w:t>Милорад Мирчић је нагласио да је Предлог закона о буџету избалансиран по питању прихода и расхода. Додао је да подржава повећање плата и пензија, али да мора да се одржи ниво сразмере између пензија и плата и да он не сме да буде већи од 1:2. Садашњи „швајцарски модел“ повећања пензија додатно смањује однос пензија према платама испод наведене сразмере.</w:t>
      </w:r>
    </w:p>
    <w:p w:rsidR="0077421F" w:rsidRPr="00A4191E" w:rsidRDefault="00B952B5" w:rsidP="007018D6">
      <w:pPr>
        <w:tabs>
          <w:tab w:val="left" w:pos="1418"/>
        </w:tabs>
        <w:spacing w:before="120" w:after="120"/>
        <w:jc w:val="both"/>
      </w:pPr>
      <w:r>
        <w:rPr>
          <w:lang w:val="sr-Cyrl-RS"/>
        </w:rPr>
        <w:t xml:space="preserve">           Момо Чолаковић се сложио да се не сме дозволити даљи пад сразмере пензија према платама и изразио захвалност за једнократну помоћ коју су недавно добили корисници пензија.</w:t>
      </w:r>
    </w:p>
    <w:p w:rsidR="00B25E27" w:rsidRDefault="0077421F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Ђорђе Вукадиновић је нагласио да је Предлог закона о буџету у великој мери предизборни и да није развојни. Њиме Влада жели да пошаље поруку грађанима да је прошло време штедње. По његовом мишљењу, мере фискалне консолидације су дале резултата тако што је терет</w:t>
      </w:r>
      <w:r w:rsidR="00B25E27">
        <w:rPr>
          <w:lang w:val="sr-Cyrl-RS"/>
        </w:rPr>
        <w:t xml:space="preserve"> пребачен на грађане, док држав</w:t>
      </w:r>
      <w:r w:rsidR="00D1623A">
        <w:rPr>
          <w:lang w:val="sr-Cyrl-RS"/>
        </w:rPr>
        <w:t>н</w:t>
      </w:r>
      <w:r w:rsidR="00B25E27">
        <w:rPr>
          <w:lang w:val="sr-Cyrl-RS"/>
        </w:rPr>
        <w:t xml:space="preserve">а </w:t>
      </w:r>
      <w:r w:rsidR="00D1623A">
        <w:rPr>
          <w:lang w:val="sr-Cyrl-RS"/>
        </w:rPr>
        <w:t xml:space="preserve">администрација </w:t>
      </w:r>
      <w:r w:rsidR="00B25E27">
        <w:rPr>
          <w:lang w:val="sr-Cyrl-RS"/>
        </w:rPr>
        <w:t>није постала ефикаснија.</w:t>
      </w:r>
    </w:p>
    <w:p w:rsidR="00D029CB" w:rsidRDefault="00B25E27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Александра Томић се није сложила да је Предлог закона о буџету предизборни, јер онда он не би укључивао пораст инвестиција. Управо најава новог националног инвестиционог плана за наредних пет година демантује </w:t>
      </w:r>
      <w:r w:rsidR="00722001">
        <w:rPr>
          <w:lang w:val="sr-Cyrl-RS"/>
        </w:rPr>
        <w:t xml:space="preserve">ту </w:t>
      </w:r>
      <w:r>
        <w:rPr>
          <w:lang w:val="sr-Cyrl-RS"/>
        </w:rPr>
        <w:t>тврдњу. Предлог закона о буџету је састављен на основу одговорне политике и фискалне консолидације. Држава наставља да инвестира у инфрастуктуру и неумесно је поредити Србију са земљама које већ имају изграђену инфраструктуру и користе структурне фондове ЕУ.</w:t>
      </w:r>
      <w:r w:rsidR="00722001">
        <w:rPr>
          <w:lang w:val="sr-Cyrl-RS"/>
        </w:rPr>
        <w:t xml:space="preserve"> Пораст плата је неопходан  да би се задржали квалитетни кадрови и држава тренутн</w:t>
      </w:r>
      <w:r w:rsidR="00A4191E">
        <w:t>o</w:t>
      </w:r>
      <w:r w:rsidR="00722001">
        <w:rPr>
          <w:lang w:val="sr-Cyrl-RS"/>
        </w:rPr>
        <w:t xml:space="preserve"> има економске могућности за то. Истакла је и даље смањење јавног дуга за скоро 9%.</w:t>
      </w:r>
    </w:p>
    <w:p w:rsidR="00D029CB" w:rsidRDefault="00D029CB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У дискусији су у</w:t>
      </w:r>
      <w:r w:rsidR="00D1623A">
        <w:rPr>
          <w:lang w:val="sr-Cyrl-RS"/>
        </w:rPr>
        <w:t>ч</w:t>
      </w:r>
      <w:r>
        <w:rPr>
          <w:lang w:val="sr-Cyrl-RS"/>
        </w:rPr>
        <w:t xml:space="preserve">ествовали и: </w:t>
      </w:r>
      <w:r w:rsidR="00D1623A">
        <w:rPr>
          <w:lang w:val="sr-Cyrl-RS"/>
        </w:rPr>
        <w:t>Милорад Мијатовић, Александар Стевановић, Горан Ковачевић и Војислав Вујић.</w:t>
      </w:r>
    </w:p>
    <w:p w:rsidR="00D1623A" w:rsidRDefault="00D1623A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</w:p>
    <w:p w:rsidR="00D029CB" w:rsidRPr="001A33A0" w:rsidRDefault="00D029CB" w:rsidP="00D029CB">
      <w:pPr>
        <w:ind w:firstLine="720"/>
        <w:jc w:val="both"/>
        <w:rPr>
          <w:lang w:val="sr-Cyrl-RS"/>
        </w:rPr>
      </w:pPr>
      <w:r w:rsidRPr="001A33A0">
        <w:rPr>
          <w:lang w:val="sr-Cyrl-RS"/>
        </w:rPr>
        <w:t>Одбор је, н</w:t>
      </w:r>
      <w:r w:rsidRPr="001A33A0">
        <w:t xml:space="preserve">а основу члана 156. став 3. Пословника Народне Скупштине, </w:t>
      </w:r>
      <w:r w:rsidRPr="001A33A0">
        <w:rPr>
          <w:lang w:val="sr-Cyrl-RS"/>
        </w:rPr>
        <w:t>већином гласова (1</w:t>
      </w:r>
      <w:r>
        <w:rPr>
          <w:lang w:val="sr-Cyrl-RS"/>
        </w:rPr>
        <w:t>1</w:t>
      </w:r>
      <w:r w:rsidRPr="001A33A0">
        <w:rPr>
          <w:lang w:val="sr-Cyrl-RS"/>
        </w:rPr>
        <w:t xml:space="preserve"> за, један </w:t>
      </w:r>
      <w:r>
        <w:rPr>
          <w:lang w:val="sr-Cyrl-RS"/>
        </w:rPr>
        <w:t>није гласао</w:t>
      </w:r>
      <w:r w:rsidRPr="001A33A0">
        <w:rPr>
          <w:lang w:val="sr-Cyrl-RS"/>
        </w:rPr>
        <w:t>) одлучио  да поднесе следећи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RS"/>
        </w:rPr>
      </w:pP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  <w:r w:rsidRPr="00D029CB">
        <w:rPr>
          <w:rFonts w:eastAsia="Calibri"/>
          <w:lang w:val="sr-Cyrl-RS"/>
        </w:rPr>
        <w:t>И З В Е Ш Т А Ј</w:t>
      </w: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  <w:r w:rsidRPr="00D029CB">
        <w:rPr>
          <w:rFonts w:eastAsia="Calibri"/>
          <w:lang w:val="sr-Latn-RS"/>
        </w:rPr>
        <w:t>I</w:t>
      </w: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</w:p>
    <w:p w:rsidR="00D029CB" w:rsidRPr="00D029CB" w:rsidRDefault="00D029CB" w:rsidP="00D029CB">
      <w:pPr>
        <w:jc w:val="both"/>
        <w:rPr>
          <w:rFonts w:eastAsia="Calibri"/>
          <w:color w:val="000000"/>
          <w:lang w:val="sr-Latn-RS" w:eastAsia="sr-Cyrl-CS"/>
        </w:rPr>
      </w:pPr>
      <w:r w:rsidRPr="00D029CB">
        <w:rPr>
          <w:rFonts w:ascii="Calibri" w:eastAsia="Calibri" w:hAnsi="Calibri"/>
          <w:sz w:val="22"/>
          <w:szCs w:val="22"/>
        </w:rPr>
        <w:tab/>
      </w:r>
      <w:r w:rsidRPr="00D029CB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029CB">
        <w:rPr>
          <w:rFonts w:eastAsia="Calibri"/>
          <w:color w:val="000000"/>
          <w:lang w:val="sr-Cyrl-CS" w:eastAsia="sr-Cyrl-CS"/>
        </w:rPr>
        <w:t xml:space="preserve">Предлог закона о буџету Републике Србије за 2020. </w:t>
      </w:r>
      <w:r w:rsidRPr="00D029CB">
        <w:rPr>
          <w:rFonts w:eastAsia="Calibri"/>
          <w:color w:val="000000"/>
          <w:lang w:val="sr-Cyrl-RS" w:eastAsia="sr-Cyrl-CS"/>
        </w:rPr>
        <w:t>г</w:t>
      </w:r>
      <w:r w:rsidRPr="00D029CB">
        <w:rPr>
          <w:rFonts w:eastAsia="Calibri"/>
          <w:color w:val="000000"/>
          <w:lang w:val="sr-Cyrl-CS" w:eastAsia="sr-Cyrl-CS"/>
        </w:rPr>
        <w:t>одину</w:t>
      </w:r>
      <w:r w:rsidRPr="00D029CB">
        <w:rPr>
          <w:rFonts w:eastAsia="Calibri"/>
          <w:color w:val="000000"/>
          <w:lang w:eastAsia="sr-Cyrl-CS"/>
        </w:rPr>
        <w:t>,</w:t>
      </w:r>
      <w:r w:rsidRPr="00D029CB">
        <w:rPr>
          <w:rFonts w:eastAsia="Calibri"/>
          <w:color w:val="000000"/>
          <w:lang w:val="sr-Cyrl-CS" w:eastAsia="sr-Cyrl-CS"/>
        </w:rPr>
        <w:t xml:space="preserve">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</w:t>
      </w:r>
      <w:r w:rsidRPr="00D029CB">
        <w:rPr>
          <w:rFonts w:eastAsia="Calibri"/>
          <w:color w:val="000000"/>
          <w:lang w:val="sr-Cyrl-RS" w:eastAsia="sr-Cyrl-CS"/>
        </w:rPr>
        <w:t xml:space="preserve"> и</w:t>
      </w:r>
      <w:r w:rsidRPr="00D029CB">
        <w:rPr>
          <w:rFonts w:eastAsia="Calibri"/>
          <w:lang w:val="sr-Cyrl-RS"/>
        </w:rPr>
        <w:t xml:space="preserve"> </w:t>
      </w:r>
      <w:r w:rsidRPr="00D029CB">
        <w:rPr>
          <w:rFonts w:eastAsia="Calibri"/>
          <w:color w:val="000000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2020. годину</w:t>
      </w:r>
      <w:r w:rsidRPr="00D029CB">
        <w:rPr>
          <w:rFonts w:eastAsia="Calibri"/>
          <w:color w:val="000000"/>
          <w:lang w:val="sr-Cyrl-RS" w:eastAsia="sr-Cyrl-CS"/>
        </w:rPr>
        <w:t>, у начелу.</w:t>
      </w:r>
    </w:p>
    <w:p w:rsidR="00D029CB" w:rsidRPr="00D029CB" w:rsidRDefault="00D029CB" w:rsidP="00D029CB">
      <w:pPr>
        <w:jc w:val="both"/>
        <w:rPr>
          <w:rFonts w:eastAsia="Calibri"/>
          <w:color w:val="000000"/>
          <w:lang w:val="sr-Latn-RS" w:eastAsia="sr-Cyrl-CS"/>
        </w:rPr>
      </w:pPr>
    </w:p>
    <w:p w:rsidR="00D029CB" w:rsidRPr="00D029CB" w:rsidRDefault="00D029CB" w:rsidP="00D029CB">
      <w:pPr>
        <w:jc w:val="center"/>
        <w:rPr>
          <w:rFonts w:eastAsia="Calibri"/>
          <w:color w:val="000000"/>
          <w:lang w:val="sr-Cyrl-RS" w:eastAsia="sr-Cyrl-CS"/>
        </w:rPr>
      </w:pPr>
      <w:r w:rsidRPr="00D029CB">
        <w:rPr>
          <w:rFonts w:eastAsia="Calibri"/>
          <w:color w:val="000000"/>
          <w:lang w:val="sr-Latn-RS" w:eastAsia="sr-Cyrl-CS"/>
        </w:rPr>
        <w:t>II</w:t>
      </w:r>
    </w:p>
    <w:p w:rsidR="00D029CB" w:rsidRPr="00D029CB" w:rsidRDefault="00D029CB" w:rsidP="00D029CB">
      <w:pPr>
        <w:jc w:val="center"/>
        <w:rPr>
          <w:rFonts w:eastAsia="Calibri"/>
          <w:color w:val="000000"/>
          <w:lang w:val="sr-Cyrl-RS" w:eastAsia="sr-Cyrl-CS"/>
        </w:rPr>
      </w:pPr>
    </w:p>
    <w:p w:rsidR="00D029CB" w:rsidRPr="00D029CB" w:rsidRDefault="00D029CB" w:rsidP="00D029CB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D029CB">
        <w:rPr>
          <w:rFonts w:eastAsia="Calibri"/>
          <w:color w:val="000000"/>
          <w:lang w:eastAsia="sr-Cyrl-CS"/>
        </w:rPr>
        <w:tab/>
      </w:r>
      <w:r w:rsidRPr="00D029CB">
        <w:rPr>
          <w:rFonts w:eastAsia="Calibri"/>
        </w:rPr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које су, у складу са чланом 173. став 1. Пословника Народне скупштине, доставили Одбору за финансије, републички буџет и контролу трошења јавних средстава, као надлежном одбору, и то</w:t>
      </w:r>
      <w:r w:rsidRPr="00D029CB">
        <w:rPr>
          <w:rFonts w:ascii="Calibri" w:eastAsia="Calibri" w:hAnsi="Calibri"/>
          <w:sz w:val="22"/>
          <w:szCs w:val="22"/>
        </w:rPr>
        <w:t>:</w:t>
      </w:r>
    </w:p>
    <w:p w:rsidR="00D029CB" w:rsidRPr="00D029CB" w:rsidRDefault="00D029CB" w:rsidP="00D029CB">
      <w:pPr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D029CB">
        <w:rPr>
          <w:rFonts w:eastAsia="Calibri"/>
        </w:rPr>
        <w:t xml:space="preserve">- </w:t>
      </w:r>
      <w:r w:rsidRPr="00D029CB">
        <w:rPr>
          <w:rFonts w:eastAsia="Calibri"/>
          <w:lang w:val="sr-Cyrl-RS"/>
        </w:rPr>
        <w:t xml:space="preserve">Извештај </w:t>
      </w:r>
      <w:r w:rsidRPr="00D029CB">
        <w:rPr>
          <w:rFonts w:eastAsia="Calibri"/>
        </w:rPr>
        <w:t>Одбор</w:t>
      </w:r>
      <w:r w:rsidRPr="00D029CB">
        <w:rPr>
          <w:rFonts w:eastAsia="Calibri"/>
          <w:lang w:val="sr-Cyrl-RS"/>
        </w:rPr>
        <w:t>а</w:t>
      </w:r>
      <w:r w:rsidRPr="00D029CB">
        <w:rPr>
          <w:rFonts w:eastAsia="Calibri"/>
        </w:rPr>
        <w:t xml:space="preserve"> за пољопривреду, шумарство и водопривреду</w:t>
      </w:r>
      <w:r w:rsidRPr="00D029CB">
        <w:rPr>
          <w:rFonts w:eastAsia="Calibri"/>
          <w:lang w:val="sr-Cyrl-RS"/>
        </w:rPr>
        <w:t>, који</w:t>
      </w:r>
      <w:r w:rsidRPr="00D029CB">
        <w:rPr>
          <w:rFonts w:eastAsia="Calibri"/>
        </w:rPr>
        <w:t xml:space="preserve">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</w:t>
      </w:r>
      <w:r w:rsidRPr="00D029CB">
        <w:rPr>
          <w:rFonts w:eastAsia="Calibri"/>
          <w:lang w:val="sr-Cyrl-RS"/>
        </w:rPr>
        <w:t>20</w:t>
      </w:r>
      <w:r w:rsidRPr="00D029CB">
        <w:rPr>
          <w:rFonts w:eastAsia="Calibri"/>
        </w:rPr>
        <w:t>. годину, раздео 2</w:t>
      </w:r>
      <w:r w:rsidRPr="00D029CB">
        <w:rPr>
          <w:rFonts w:eastAsia="Calibri"/>
          <w:lang w:val="sr-Cyrl-RS"/>
        </w:rPr>
        <w:t>4</w:t>
      </w:r>
      <w:r w:rsidRPr="00D029CB">
        <w:rPr>
          <w:rFonts w:eastAsia="Calibri"/>
        </w:rPr>
        <w:t xml:space="preserve"> - Министарство пољопривреде</w:t>
      </w:r>
      <w:r w:rsidRPr="00D029CB">
        <w:rPr>
          <w:rFonts w:eastAsia="Calibri"/>
          <w:lang w:val="sr-Cyrl-RS"/>
        </w:rPr>
        <w:t>, шумарства и водопривреде</w:t>
      </w:r>
      <w:r w:rsidRPr="00D029CB">
        <w:rPr>
          <w:rFonts w:eastAsia="Calibri"/>
        </w:rPr>
        <w:t xml:space="preserve"> који је поднела Влада</w:t>
      </w:r>
      <w:r w:rsidRPr="00D029CB">
        <w:rPr>
          <w:rFonts w:eastAsia="Calibri"/>
          <w:sz w:val="22"/>
          <w:szCs w:val="22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RS"/>
        </w:rPr>
      </w:pPr>
      <w:r w:rsidRPr="00D029CB">
        <w:rPr>
          <w:rFonts w:eastAsia="Calibri"/>
          <w:lang w:val="sr-Cyrl-RS"/>
        </w:rPr>
        <w:t>- Извештај Одбора за заштиту животне средине, који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2020. годину, Раздео 25- Министарство заштите животне средине.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CS"/>
        </w:rPr>
      </w:pPr>
      <w:r w:rsidRPr="00D029CB">
        <w:rPr>
          <w:rFonts w:ascii="Calibri" w:eastAsia="Calibri" w:hAnsi="Calibri"/>
          <w:sz w:val="22"/>
          <w:szCs w:val="22"/>
        </w:rPr>
        <w:lastRenderedPageBreak/>
        <w:t xml:space="preserve">- </w:t>
      </w:r>
      <w:r w:rsidRPr="00D029CB">
        <w:rPr>
          <w:rFonts w:eastAsia="Calibri"/>
          <w:lang w:val="sr-Cyrl-CS"/>
        </w:rPr>
        <w:t>Извештај Одбора за рад, социјална питања, друштвену укљученост и смањење сиромаштва, који је одлучио да предложи Одбору за финансије, републички буџет и контролу трошења јавних средстава да прихвати</w:t>
      </w:r>
      <w:r w:rsidRPr="00D029CB">
        <w:rPr>
          <w:rFonts w:eastAsia="Calibri"/>
          <w:b/>
          <w:lang w:val="sr-Cyrl-CS"/>
        </w:rPr>
        <w:t xml:space="preserve"> </w:t>
      </w:r>
      <w:r w:rsidRPr="00D029CB">
        <w:rPr>
          <w:rFonts w:eastAsia="Calibri"/>
          <w:lang w:val="sr-Cyrl-CS"/>
        </w:rPr>
        <w:t>Предлог закона о буџету Републике Србије за 2020. годину – раздео 30 Министарство за рад, запошљавање, борачка и социјална питања,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годину, који је поднела Влада Републике Србије.</w:t>
      </w: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  <w:r w:rsidRPr="00D029CB">
        <w:rPr>
          <w:rFonts w:ascii="Calibri" w:eastAsia="Calibri" w:hAnsi="Calibri"/>
          <w:sz w:val="22"/>
          <w:szCs w:val="22"/>
          <w:lang w:val="sr-Cyrl-CS"/>
        </w:rPr>
        <w:t xml:space="preserve">- </w:t>
      </w:r>
      <w:r w:rsidRPr="00D029CB">
        <w:rPr>
          <w:rFonts w:eastAsia="Calibri"/>
          <w:lang w:val="sr-Cyrl-CS"/>
        </w:rPr>
        <w:t>Извештај Одбора за здравље и породицу, који је</w:t>
      </w:r>
      <w:r w:rsidRPr="00D029CB">
        <w:rPr>
          <w:rFonts w:eastAsia="Calibri"/>
          <w:bCs/>
          <w:lang w:val="ru-RU"/>
        </w:rPr>
        <w:t xml:space="preserve"> одлучио</w:t>
      </w:r>
      <w:r w:rsidRPr="00D029CB">
        <w:rPr>
          <w:rFonts w:eastAsia="Calibri"/>
          <w:bCs/>
          <w:lang w:val="sr-Cyrl-RS"/>
        </w:rPr>
        <w:t xml:space="preserve"> </w:t>
      </w:r>
      <w:r w:rsidRPr="00D029CB">
        <w:rPr>
          <w:rFonts w:eastAsia="Calibri"/>
          <w:bCs/>
          <w:lang w:val="ru-RU"/>
        </w:rPr>
        <w:t xml:space="preserve">да предложи </w:t>
      </w:r>
      <w:r w:rsidRPr="00D029CB">
        <w:rPr>
          <w:rFonts w:eastAsia="Calibri"/>
          <w:bCs/>
        </w:rPr>
        <w:t>O</w:t>
      </w:r>
      <w:r w:rsidRPr="00D029CB">
        <w:rPr>
          <w:rFonts w:eastAsia="Calibri"/>
          <w:bCs/>
          <w:lang w:val="sr-Cyrl-RS"/>
        </w:rPr>
        <w:t>дбору за финансије, републички буџет и контролу трошења јавних средстава</w:t>
      </w:r>
      <w:r w:rsidRPr="00D029CB">
        <w:rPr>
          <w:rFonts w:eastAsia="Calibri"/>
          <w:bCs/>
          <w:lang w:val="ru-RU"/>
        </w:rPr>
        <w:t xml:space="preserve"> да прихвати  </w:t>
      </w:r>
      <w:r w:rsidRPr="00D029CB">
        <w:rPr>
          <w:rFonts w:eastAsia="Calibri"/>
          <w:lang w:val="sr-Cyrl-RS"/>
        </w:rPr>
        <w:t>Предлог закона о буџету Републике Србије за 2020. годину, Раздео 2</w:t>
      </w:r>
      <w:r w:rsidRPr="00D029CB">
        <w:rPr>
          <w:rFonts w:eastAsia="Calibri"/>
          <w:lang w:val="sr-Latn-RS"/>
        </w:rPr>
        <w:t>7</w:t>
      </w:r>
      <w:r w:rsidRPr="00D029CB">
        <w:rPr>
          <w:rFonts w:eastAsia="Calibri"/>
          <w:lang w:val="sr-Cyrl-RS"/>
        </w:rPr>
        <w:t xml:space="preserve"> - Министарство здравља, са Предлогом одлуке о давању сагласности на Финансијски план Републичког фонда за здравствено осигурање за 2020. годину, који је поднела Влада, </w:t>
      </w:r>
      <w:r w:rsidRPr="00D029CB">
        <w:rPr>
          <w:rFonts w:eastAsia="Calibri"/>
          <w:lang w:val="sr-Latn-RS"/>
        </w:rPr>
        <w:t>у начелу</w:t>
      </w:r>
      <w:r w:rsidRPr="00D029CB">
        <w:rPr>
          <w:rFonts w:eastAsia="Calibri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  <w:r w:rsidRPr="00D029CB">
        <w:rPr>
          <w:rFonts w:eastAsia="Calibri"/>
          <w:lang w:val="sr-Cyrl-RS"/>
        </w:rPr>
        <w:t xml:space="preserve">- Извештај Одбора за културу и информисање, који је одлучио да предложи Одбору за финансије, републички буџет и контролу трошења јавних средстава да прихвати у начелу Предлог закона о буџету Републике Србије за 2020. годину, Раздео 29 – Министарство културе и информисања. </w:t>
      </w:r>
    </w:p>
    <w:p w:rsidR="00D029CB" w:rsidRPr="00D029CB" w:rsidRDefault="00D029CB" w:rsidP="00D1623A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D029CB">
        <w:rPr>
          <w:rFonts w:eastAsia="Calibri"/>
          <w:color w:val="000000" w:themeColor="text1"/>
          <w:lang w:val="sr-Cyrl-RS"/>
        </w:rPr>
        <w:t xml:space="preserve">- Извештај Одбора за привреду, регионални развој, трговину, туризам и енергетику, </w:t>
      </w:r>
      <w:r w:rsidRPr="00D029CB">
        <w:rPr>
          <w:rFonts w:eastAsia="Calibri"/>
          <w:color w:val="000000" w:themeColor="text1"/>
        </w:rPr>
        <w:t>који је  одлучио</w:t>
      </w:r>
      <w:r w:rsidRPr="00D029CB">
        <w:rPr>
          <w:rFonts w:eastAsia="Calibri"/>
          <w:color w:val="000000" w:themeColor="text1"/>
          <w:lang w:val="sr-Cyrl-RS"/>
        </w:rPr>
        <w:t xml:space="preserve"> већином гласова</w:t>
      </w:r>
      <w:r w:rsidRPr="00D029CB">
        <w:rPr>
          <w:rFonts w:eastAsia="Calibri"/>
          <w:color w:val="000000" w:themeColor="text1"/>
        </w:rPr>
        <w:t xml:space="preserve"> да предложи Одбору за финансије, републички буџет и контролу трошења јавних средстава да прихвати</w:t>
      </w:r>
      <w:r w:rsidRPr="00D029CB">
        <w:rPr>
          <w:rFonts w:eastAsia="Calibri"/>
          <w:color w:val="000000" w:themeColor="text1"/>
          <w:lang w:val="sr-Cyrl-RS"/>
        </w:rPr>
        <w:t xml:space="preserve"> Предлог закона о буџету Републике Србије за 2020.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у начелу;</w:t>
      </w:r>
    </w:p>
    <w:p w:rsidR="00D029CB" w:rsidRPr="00D029CB" w:rsidRDefault="00D029CB" w:rsidP="00D029CB">
      <w:pPr>
        <w:jc w:val="both"/>
        <w:rPr>
          <w:rFonts w:eastAsia="Calibri"/>
          <w:b/>
        </w:rPr>
      </w:pPr>
    </w:p>
    <w:p w:rsidR="00D1623A" w:rsidRPr="00A4191E" w:rsidRDefault="00D029CB" w:rsidP="00D029CB">
      <w:pPr>
        <w:spacing w:after="200"/>
        <w:jc w:val="both"/>
        <w:rPr>
          <w:rFonts w:eastAsia="Calibri"/>
        </w:rPr>
      </w:pPr>
      <w:r w:rsidRPr="00D029CB">
        <w:rPr>
          <w:rFonts w:eastAsia="Calibri"/>
        </w:rPr>
        <w:tab/>
      </w:r>
      <w:r w:rsidRPr="00D029CB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264E4B" w:rsidRDefault="00264E4B" w:rsidP="00D029CB">
      <w:pPr>
        <w:spacing w:after="200"/>
        <w:jc w:val="both"/>
        <w:rPr>
          <w:rFonts w:eastAsia="Calibri"/>
          <w:lang w:val="sr-Cyrl-RS"/>
        </w:rPr>
      </w:pPr>
    </w:p>
    <w:p w:rsidR="00D1623A" w:rsidRDefault="00D1623A" w:rsidP="00D029CB">
      <w:pPr>
        <w:spacing w:after="200"/>
        <w:jc w:val="both"/>
        <w:rPr>
          <w:lang w:val="sr-Cyrl-RS"/>
        </w:rPr>
      </w:pPr>
      <w:r>
        <w:rPr>
          <w:b/>
          <w:u w:val="single"/>
          <w:lang w:val="sr-Cyrl-RS"/>
        </w:rPr>
        <w:t>ДРУГА</w:t>
      </w:r>
      <w:r w:rsidRPr="009D4752">
        <w:rPr>
          <w:b/>
          <w:u w:val="single"/>
          <w:lang w:val="sr-Cyrl-RS"/>
        </w:rPr>
        <w:t xml:space="preserve"> ТАЧКА ДНЕВНОГ РЕДА</w:t>
      </w:r>
      <w:r w:rsidRPr="009D4752">
        <w:rPr>
          <w:b/>
        </w:rPr>
        <w:t>:</w:t>
      </w:r>
      <w:r>
        <w:rPr>
          <w:b/>
          <w:lang w:val="sr-Cyrl-RS"/>
        </w:rPr>
        <w:t xml:space="preserve"> </w:t>
      </w:r>
      <w:r>
        <w:rPr>
          <w:lang w:val="sr-Cyrl-RS"/>
        </w:rPr>
        <w:t>Доношење одлуке о образовању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</w:t>
      </w:r>
    </w:p>
    <w:p w:rsidR="00D1623A" w:rsidRDefault="00D1623A" w:rsidP="00D029CB">
      <w:pPr>
        <w:spacing w:after="200"/>
        <w:jc w:val="both"/>
        <w:rPr>
          <w:lang w:val="sr-Cyrl-RS"/>
        </w:rPr>
      </w:pPr>
    </w:p>
    <w:p w:rsidR="00D1623A" w:rsidRPr="00D1623A" w:rsidRDefault="00D1623A" w:rsidP="00D1623A">
      <w:pPr>
        <w:ind w:firstLine="720"/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 xml:space="preserve">На основу члана 27. ст. 8. Закона о Народној скупштини („Службени гласник РС“, број 9/10), члана 44. став 6. а у вези са чланом 55. Пословника Народне скупштине („Службени гласник РС“, број 20/12 - Пречишћен текст), Одбор </w:t>
      </w:r>
      <w:r>
        <w:rPr>
          <w:rFonts w:eastAsiaTheme="minorHAnsi"/>
          <w:lang w:val="sr-Cyrl-RS"/>
        </w:rPr>
        <w:t xml:space="preserve">је </w:t>
      </w:r>
      <w:r w:rsidR="00264E4B">
        <w:rPr>
          <w:lang w:val="sr-Cyrl-RS"/>
        </w:rPr>
        <w:t>једногласно</w:t>
      </w:r>
      <w:r w:rsidRPr="001A33A0">
        <w:rPr>
          <w:lang w:val="sr-Cyrl-RS"/>
        </w:rPr>
        <w:t xml:space="preserve"> (1</w:t>
      </w:r>
      <w:r w:rsidR="00264E4B">
        <w:rPr>
          <w:lang w:val="sr-Cyrl-RS"/>
        </w:rPr>
        <w:t>2</w:t>
      </w:r>
      <w:r w:rsidRPr="001A33A0">
        <w:rPr>
          <w:lang w:val="sr-Cyrl-RS"/>
        </w:rPr>
        <w:t xml:space="preserve"> </w:t>
      </w:r>
      <w:r w:rsidR="00A4191E">
        <w:rPr>
          <w:lang w:val="sr-Cyrl-RS"/>
        </w:rPr>
        <w:t>гласова „</w:t>
      </w:r>
      <w:r w:rsidRPr="001A33A0">
        <w:rPr>
          <w:lang w:val="sr-Cyrl-RS"/>
        </w:rPr>
        <w:t>за</w:t>
      </w:r>
      <w:r w:rsidR="00A4191E">
        <w:rPr>
          <w:lang w:val="sr-Cyrl-RS"/>
        </w:rPr>
        <w:t>“</w:t>
      </w:r>
      <w:r w:rsidRPr="001A33A0">
        <w:rPr>
          <w:lang w:val="sr-Cyrl-RS"/>
        </w:rPr>
        <w:t>)</w:t>
      </w:r>
      <w:r w:rsidR="00A4191E">
        <w:t xml:space="preserve"> </w:t>
      </w:r>
      <w:r>
        <w:rPr>
          <w:rFonts w:eastAsiaTheme="minorHAnsi"/>
          <w:lang w:val="sr-Cyrl-RS"/>
        </w:rPr>
        <w:t>донео</w:t>
      </w:r>
    </w:p>
    <w:p w:rsidR="00A4191E" w:rsidRPr="00A4191E" w:rsidRDefault="00A4191E" w:rsidP="00D1623A">
      <w:pPr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1623A" w:rsidRPr="00D1623A" w:rsidRDefault="00D1623A" w:rsidP="00D1623A">
      <w:pPr>
        <w:jc w:val="center"/>
        <w:rPr>
          <w:rFonts w:eastAsiaTheme="minorHAnsi"/>
          <w:b/>
          <w:lang w:val="sr-Cyrl-RS"/>
        </w:rPr>
      </w:pPr>
      <w:r w:rsidRPr="00D1623A">
        <w:rPr>
          <w:rFonts w:eastAsiaTheme="minorHAnsi"/>
          <w:b/>
          <w:lang w:val="sr-Cyrl-RS"/>
        </w:rPr>
        <w:t>О Д Л У К У</w:t>
      </w:r>
    </w:p>
    <w:p w:rsidR="00D1623A" w:rsidRPr="00D1623A" w:rsidRDefault="00D1623A" w:rsidP="00D1623A">
      <w:pPr>
        <w:jc w:val="center"/>
        <w:rPr>
          <w:rFonts w:eastAsiaTheme="minorHAnsi"/>
          <w:b/>
          <w:lang w:val="sr-Cyrl-RS"/>
        </w:rPr>
      </w:pPr>
      <w:r w:rsidRPr="00D1623A">
        <w:rPr>
          <w:rFonts w:eastAsiaTheme="minorHAnsi"/>
          <w:b/>
          <w:lang w:val="sr-Cyrl-RS"/>
        </w:rPr>
        <w:t>о образовању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</w:t>
      </w: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1. ОБРАЗУЈЕ СЕ Радна група за утврђивање испуњености услова у поступку предлагања кандидата за избор председника и четири члана Савета Комисије за контролу државне помоћи (у даљем тексту: </w:t>
      </w:r>
      <w:r w:rsidRPr="00D1623A">
        <w:rPr>
          <w:rFonts w:eastAsiaTheme="minorHAnsi"/>
          <w:i/>
          <w:lang w:val="sr-Cyrl-RS"/>
        </w:rPr>
        <w:t>Радна група</w:t>
      </w:r>
      <w:r w:rsidRPr="00D1623A">
        <w:rPr>
          <w:rFonts w:eastAsiaTheme="minorHAnsi"/>
          <w:lang w:val="sr-Cyrl-RS"/>
        </w:rPr>
        <w:t>), у следећем саставу:</w:t>
      </w:r>
    </w:p>
    <w:p w:rsidR="00D1623A" w:rsidRPr="00D1623A" w:rsidRDefault="00D1623A" w:rsidP="00D1623A">
      <w:pPr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b/>
          <w:lang w:val="sr-Cyrl-RS"/>
        </w:rPr>
        <w:t>Председник</w:t>
      </w:r>
      <w:r w:rsidRPr="00D1623A">
        <w:rPr>
          <w:rFonts w:eastAsiaTheme="minorHAnsi"/>
          <w:lang w:val="sr-Cyrl-RS"/>
        </w:rPr>
        <w:t>: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b/>
          <w:lang w:val="sr-Cyrl-RS"/>
        </w:rPr>
        <w:t>-</w:t>
      </w:r>
      <w:r w:rsidRPr="00D1623A">
        <w:rPr>
          <w:rFonts w:eastAsiaTheme="minorHAnsi"/>
          <w:lang w:val="sr-Cyrl-RS"/>
        </w:rPr>
        <w:t xml:space="preserve"> Милорад Мијатовић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b/>
          <w:lang w:val="sr-Cyrl-RS"/>
        </w:rPr>
        <w:t>Чланови</w:t>
      </w:r>
      <w:r w:rsidRPr="00D1623A">
        <w:rPr>
          <w:rFonts w:eastAsiaTheme="minorHAnsi"/>
          <w:lang w:val="sr-Cyrl-RS"/>
        </w:rPr>
        <w:t>: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</w:rPr>
        <w:tab/>
      </w:r>
      <w:r w:rsidRPr="00D1623A">
        <w:rPr>
          <w:rFonts w:eastAsiaTheme="minorHAnsi"/>
        </w:rPr>
        <w:tab/>
      </w:r>
      <w:r w:rsidRPr="00D1623A">
        <w:rPr>
          <w:rFonts w:eastAsiaTheme="minorHAnsi"/>
          <w:lang w:val="sr-Cyrl-RS"/>
        </w:rPr>
        <w:t>- Горан Ковачевић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>- Милан Лапчевић</w:t>
      </w:r>
    </w:p>
    <w:p w:rsidR="00D1623A" w:rsidRPr="00D1623A" w:rsidRDefault="00D1623A" w:rsidP="00D1623A">
      <w:pPr>
        <w:ind w:left="1800"/>
        <w:contextualSpacing/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>2. Задатак Радне групе је да у поступку предлагања кандидата за избор председника и четири члана Савета Комисије за контролу државне помоћи (у даљем тексту: Комисија), по јавном конкурсу  који је објављен у „Службеном гласнику РС“, дневном листу „Политика“ и на интернет страници Народне скупштине Републике Србије и Комисије за контролу државне помоћи, 23. октобра 2019. године, изврши преглед пријава на јавни конкурс и пратеће документације ради провере и утврђивања испуњености свих услова наведених у јавном конкурсу.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>3. 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4. Радна група почиње са радом даном доношења одлуке а завршава подношењем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029CB" w:rsidRPr="00A4191E" w:rsidRDefault="00D1623A" w:rsidP="00A4191E">
      <w:pPr>
        <w:jc w:val="both"/>
        <w:rPr>
          <w:rStyle w:val="colornavy"/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5. </w:t>
      </w:r>
      <w:r w:rsidRPr="00D1623A">
        <w:rPr>
          <w:rFonts w:eastAsiaTheme="minorHAnsi"/>
        </w:rPr>
        <w:t xml:space="preserve">  </w:t>
      </w:r>
      <w:r w:rsidRPr="00D1623A">
        <w:rPr>
          <w:rFonts w:eastAsiaTheme="minorHAnsi"/>
          <w:lang w:val="sr-Cyrl-RS"/>
        </w:rPr>
        <w:t>Ова одлука ступа на снагу даном доношења.</w:t>
      </w:r>
    </w:p>
    <w:p w:rsidR="007018D6" w:rsidRPr="000308F9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9824DE" w:rsidRPr="001A33A0" w:rsidRDefault="009824DE" w:rsidP="009824DE">
      <w:pPr>
        <w:ind w:hanging="90"/>
        <w:jc w:val="center"/>
        <w:rPr>
          <w:rFonts w:eastAsia="Calibri"/>
          <w:color w:val="FF0000"/>
          <w:lang w:val="ru-RU"/>
        </w:rPr>
      </w:pPr>
    </w:p>
    <w:p w:rsidR="00523E90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669F8" w:rsidRPr="009824DE">
        <w:rPr>
          <w:lang w:val="sr-Cyrl-RS"/>
        </w:rPr>
        <w:t>Седница је завршена у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76089E">
        <w:t>7</w:t>
      </w:r>
      <w:r w:rsidR="00E669F8" w:rsidRPr="009824DE">
        <w:t>,</w:t>
      </w:r>
      <w:r w:rsidR="00253C3A">
        <w:rPr>
          <w:lang w:val="sr-Cyrl-RS"/>
        </w:rPr>
        <w:t>0</w:t>
      </w:r>
      <w:r w:rsidR="0076089E">
        <w:t>5</w:t>
      </w:r>
      <w:r w:rsidR="00E669F8" w:rsidRPr="009824DE">
        <w:t xml:space="preserve"> </w:t>
      </w:r>
      <w:r w:rsidR="00E669F8" w:rsidRPr="009824DE">
        <w:rPr>
          <w:lang w:val="sr-Cyrl-RS"/>
        </w:rPr>
        <w:t>часова.</w:t>
      </w:r>
    </w:p>
    <w:p w:rsidR="00A27D47" w:rsidRPr="009824DE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64E4B">
        <w:rPr>
          <w:lang w:val="sr-Cyrl-RS"/>
        </w:rPr>
        <w:t>Саставни део овог записника чини тонски снимак и стенографске белешке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</w:t>
      </w:r>
      <w:r w:rsidR="00A6229B">
        <w:rPr>
          <w:rFonts w:eastAsiaTheme="minorEastAsia"/>
          <w:color w:val="000000"/>
          <w:lang w:eastAsia="sr-Cyrl-CS"/>
        </w:rPr>
        <w:t xml:space="preserve"> 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СЕКРЕТАР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264E4B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      Тијана Игњатовић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A6229B">
        <w:rPr>
          <w:rFonts w:eastAsiaTheme="minorEastAsia"/>
          <w:color w:val="000000"/>
          <w:lang w:eastAsia="sr-Cyrl-CS"/>
        </w:rPr>
        <w:t xml:space="preserve"> </w:t>
      </w:r>
      <w:r w:rsidR="004F5AE6"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 w:rsidR="00A27D47">
        <w:rPr>
          <w:rFonts w:eastAsiaTheme="minorEastAsia"/>
          <w:color w:val="000000"/>
          <w:lang w:val="sr-Cyrl-CS" w:eastAsia="sr-Cyrl-CS"/>
        </w:rPr>
        <w:t xml:space="preserve">др  </w:t>
      </w:r>
      <w:r w:rsidR="007E2077">
        <w:rPr>
          <w:lang w:val="sr-Cyrl-RS"/>
        </w:rPr>
        <w:t>Александра Томић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9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B0" w:rsidRDefault="006F5FB0" w:rsidP="00F60570">
      <w:r>
        <w:separator/>
      </w:r>
    </w:p>
  </w:endnote>
  <w:endnote w:type="continuationSeparator" w:id="0">
    <w:p w:rsidR="006F5FB0" w:rsidRDefault="006F5FB0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5" w:rsidRDefault="00D71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5" w:rsidRDefault="00D71F05">
    <w:pPr>
      <w:pStyle w:val="Footer"/>
      <w:jc w:val="right"/>
    </w:pPr>
  </w:p>
  <w:p w:rsidR="00D71F05" w:rsidRDefault="00D71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5" w:rsidRDefault="00D7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B0" w:rsidRDefault="006F5FB0" w:rsidP="00F60570">
      <w:r>
        <w:separator/>
      </w:r>
    </w:p>
  </w:footnote>
  <w:footnote w:type="continuationSeparator" w:id="0">
    <w:p w:rsidR="006F5FB0" w:rsidRDefault="006F5FB0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5" w:rsidRDefault="00D7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1F05" w:rsidRDefault="00D71F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2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F05" w:rsidRDefault="00D71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5" w:rsidRDefault="00D71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3652"/>
    <w:rsid w:val="00035A92"/>
    <w:rsid w:val="00042DC9"/>
    <w:rsid w:val="000457AF"/>
    <w:rsid w:val="000537C2"/>
    <w:rsid w:val="00054C55"/>
    <w:rsid w:val="00055FE8"/>
    <w:rsid w:val="0005637E"/>
    <w:rsid w:val="00064943"/>
    <w:rsid w:val="000662C3"/>
    <w:rsid w:val="00073792"/>
    <w:rsid w:val="00087736"/>
    <w:rsid w:val="00094ABE"/>
    <w:rsid w:val="000A271F"/>
    <w:rsid w:val="000A34B5"/>
    <w:rsid w:val="000A6EDB"/>
    <w:rsid w:val="000B4466"/>
    <w:rsid w:val="000B547B"/>
    <w:rsid w:val="000D2867"/>
    <w:rsid w:val="000D43AB"/>
    <w:rsid w:val="000D54A5"/>
    <w:rsid w:val="000E4720"/>
    <w:rsid w:val="000F352C"/>
    <w:rsid w:val="000F3E9A"/>
    <w:rsid w:val="000F73F6"/>
    <w:rsid w:val="00100004"/>
    <w:rsid w:val="001028E8"/>
    <w:rsid w:val="001127B8"/>
    <w:rsid w:val="00126766"/>
    <w:rsid w:val="00130390"/>
    <w:rsid w:val="00134A06"/>
    <w:rsid w:val="00134CDD"/>
    <w:rsid w:val="00142C85"/>
    <w:rsid w:val="001617CF"/>
    <w:rsid w:val="0016570D"/>
    <w:rsid w:val="00175372"/>
    <w:rsid w:val="0017633F"/>
    <w:rsid w:val="00185E23"/>
    <w:rsid w:val="00196808"/>
    <w:rsid w:val="001A2B92"/>
    <w:rsid w:val="001A33A0"/>
    <w:rsid w:val="001B1F29"/>
    <w:rsid w:val="001B20C5"/>
    <w:rsid w:val="001C153F"/>
    <w:rsid w:val="001E5489"/>
    <w:rsid w:val="00200637"/>
    <w:rsid w:val="002027CC"/>
    <w:rsid w:val="002040EE"/>
    <w:rsid w:val="0021400F"/>
    <w:rsid w:val="00227B40"/>
    <w:rsid w:val="00232A69"/>
    <w:rsid w:val="00236614"/>
    <w:rsid w:val="00240369"/>
    <w:rsid w:val="0024761B"/>
    <w:rsid w:val="00251E98"/>
    <w:rsid w:val="00253C3A"/>
    <w:rsid w:val="00264E4B"/>
    <w:rsid w:val="0026727B"/>
    <w:rsid w:val="00297773"/>
    <w:rsid w:val="002A21A1"/>
    <w:rsid w:val="002A4A60"/>
    <w:rsid w:val="002A5842"/>
    <w:rsid w:val="002A6182"/>
    <w:rsid w:val="002B13BB"/>
    <w:rsid w:val="002B7222"/>
    <w:rsid w:val="002C02A0"/>
    <w:rsid w:val="002C60CA"/>
    <w:rsid w:val="002D0817"/>
    <w:rsid w:val="002D3280"/>
    <w:rsid w:val="002D5991"/>
    <w:rsid w:val="002E1C92"/>
    <w:rsid w:val="002E1F4E"/>
    <w:rsid w:val="002E5460"/>
    <w:rsid w:val="002E5787"/>
    <w:rsid w:val="003019B7"/>
    <w:rsid w:val="00305FBF"/>
    <w:rsid w:val="00314447"/>
    <w:rsid w:val="00314AE3"/>
    <w:rsid w:val="00314C32"/>
    <w:rsid w:val="003275C9"/>
    <w:rsid w:val="00337D8F"/>
    <w:rsid w:val="00340FB6"/>
    <w:rsid w:val="003435D3"/>
    <w:rsid w:val="00346549"/>
    <w:rsid w:val="003549AA"/>
    <w:rsid w:val="0036338F"/>
    <w:rsid w:val="0037533D"/>
    <w:rsid w:val="00383237"/>
    <w:rsid w:val="00384635"/>
    <w:rsid w:val="00392308"/>
    <w:rsid w:val="00394397"/>
    <w:rsid w:val="00397217"/>
    <w:rsid w:val="003B6B63"/>
    <w:rsid w:val="003D1889"/>
    <w:rsid w:val="003E4D4C"/>
    <w:rsid w:val="004231FC"/>
    <w:rsid w:val="00427F39"/>
    <w:rsid w:val="004362DC"/>
    <w:rsid w:val="00445814"/>
    <w:rsid w:val="00447548"/>
    <w:rsid w:val="00454AA9"/>
    <w:rsid w:val="00455C97"/>
    <w:rsid w:val="004617B2"/>
    <w:rsid w:val="00461812"/>
    <w:rsid w:val="00462433"/>
    <w:rsid w:val="00464B94"/>
    <w:rsid w:val="0046792B"/>
    <w:rsid w:val="00481F68"/>
    <w:rsid w:val="004A09FC"/>
    <w:rsid w:val="004A71EA"/>
    <w:rsid w:val="004B19DE"/>
    <w:rsid w:val="004B7C98"/>
    <w:rsid w:val="004C7F51"/>
    <w:rsid w:val="004D61E0"/>
    <w:rsid w:val="004D64DA"/>
    <w:rsid w:val="004E4E36"/>
    <w:rsid w:val="004E7445"/>
    <w:rsid w:val="004F16E9"/>
    <w:rsid w:val="004F5AE6"/>
    <w:rsid w:val="00514A26"/>
    <w:rsid w:val="0051588B"/>
    <w:rsid w:val="00520B4E"/>
    <w:rsid w:val="00523285"/>
    <w:rsid w:val="00523E90"/>
    <w:rsid w:val="00524A08"/>
    <w:rsid w:val="00525082"/>
    <w:rsid w:val="0054055C"/>
    <w:rsid w:val="00556050"/>
    <w:rsid w:val="005571D1"/>
    <w:rsid w:val="00561A12"/>
    <w:rsid w:val="00562EE5"/>
    <w:rsid w:val="005676C1"/>
    <w:rsid w:val="00567B59"/>
    <w:rsid w:val="00593DC5"/>
    <w:rsid w:val="005A7BE6"/>
    <w:rsid w:val="005B0024"/>
    <w:rsid w:val="005B0C97"/>
    <w:rsid w:val="005C1B53"/>
    <w:rsid w:val="005D7EBE"/>
    <w:rsid w:val="005F2863"/>
    <w:rsid w:val="005F2A9A"/>
    <w:rsid w:val="00601AA2"/>
    <w:rsid w:val="00606FFA"/>
    <w:rsid w:val="00617CEE"/>
    <w:rsid w:val="00621F6E"/>
    <w:rsid w:val="00642D57"/>
    <w:rsid w:val="00643FD5"/>
    <w:rsid w:val="006443F4"/>
    <w:rsid w:val="00660F3A"/>
    <w:rsid w:val="00671BF6"/>
    <w:rsid w:val="006750F1"/>
    <w:rsid w:val="00685D20"/>
    <w:rsid w:val="006976F8"/>
    <w:rsid w:val="006C5887"/>
    <w:rsid w:val="006C6C14"/>
    <w:rsid w:val="006C780C"/>
    <w:rsid w:val="006D2D5C"/>
    <w:rsid w:val="006D5DFC"/>
    <w:rsid w:val="006E133A"/>
    <w:rsid w:val="006E5EFA"/>
    <w:rsid w:val="006F2278"/>
    <w:rsid w:val="006F3B01"/>
    <w:rsid w:val="006F5C86"/>
    <w:rsid w:val="006F5FB0"/>
    <w:rsid w:val="006F744D"/>
    <w:rsid w:val="006F7F91"/>
    <w:rsid w:val="007018D6"/>
    <w:rsid w:val="00712981"/>
    <w:rsid w:val="00722001"/>
    <w:rsid w:val="007251BC"/>
    <w:rsid w:val="0073119C"/>
    <w:rsid w:val="00734FED"/>
    <w:rsid w:val="007449DE"/>
    <w:rsid w:val="0076089E"/>
    <w:rsid w:val="00771A0F"/>
    <w:rsid w:val="0077421F"/>
    <w:rsid w:val="0077493B"/>
    <w:rsid w:val="00783F47"/>
    <w:rsid w:val="0078572A"/>
    <w:rsid w:val="00791A52"/>
    <w:rsid w:val="007B0350"/>
    <w:rsid w:val="007D305C"/>
    <w:rsid w:val="007E2077"/>
    <w:rsid w:val="007E60E1"/>
    <w:rsid w:val="007F3202"/>
    <w:rsid w:val="007F749C"/>
    <w:rsid w:val="0080421E"/>
    <w:rsid w:val="00807A90"/>
    <w:rsid w:val="00811CC2"/>
    <w:rsid w:val="00812B93"/>
    <w:rsid w:val="0081670E"/>
    <w:rsid w:val="0082442A"/>
    <w:rsid w:val="008312BD"/>
    <w:rsid w:val="00846B61"/>
    <w:rsid w:val="008474D2"/>
    <w:rsid w:val="0085040C"/>
    <w:rsid w:val="0085498E"/>
    <w:rsid w:val="0088756C"/>
    <w:rsid w:val="008A0F95"/>
    <w:rsid w:val="008A44D4"/>
    <w:rsid w:val="008B720A"/>
    <w:rsid w:val="008D0952"/>
    <w:rsid w:val="008D562B"/>
    <w:rsid w:val="008E6B0D"/>
    <w:rsid w:val="00900DC9"/>
    <w:rsid w:val="00902694"/>
    <w:rsid w:val="00914081"/>
    <w:rsid w:val="00923C5A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7D47"/>
    <w:rsid w:val="00A401DB"/>
    <w:rsid w:val="00A4191E"/>
    <w:rsid w:val="00A43FBB"/>
    <w:rsid w:val="00A446D9"/>
    <w:rsid w:val="00A55AAB"/>
    <w:rsid w:val="00A6229B"/>
    <w:rsid w:val="00A64616"/>
    <w:rsid w:val="00A71325"/>
    <w:rsid w:val="00A71EDC"/>
    <w:rsid w:val="00A769F3"/>
    <w:rsid w:val="00A85276"/>
    <w:rsid w:val="00A9119E"/>
    <w:rsid w:val="00AA35F8"/>
    <w:rsid w:val="00AA6247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147F8"/>
    <w:rsid w:val="00B20432"/>
    <w:rsid w:val="00B25E27"/>
    <w:rsid w:val="00B304F4"/>
    <w:rsid w:val="00B35C1C"/>
    <w:rsid w:val="00B45BBB"/>
    <w:rsid w:val="00B50B8F"/>
    <w:rsid w:val="00B55511"/>
    <w:rsid w:val="00B71439"/>
    <w:rsid w:val="00B76B50"/>
    <w:rsid w:val="00B91F70"/>
    <w:rsid w:val="00B92E82"/>
    <w:rsid w:val="00B952B5"/>
    <w:rsid w:val="00BA016F"/>
    <w:rsid w:val="00BA34AC"/>
    <w:rsid w:val="00BA4863"/>
    <w:rsid w:val="00BB0BD5"/>
    <w:rsid w:val="00BB7E2D"/>
    <w:rsid w:val="00BC0659"/>
    <w:rsid w:val="00BD196F"/>
    <w:rsid w:val="00BE741F"/>
    <w:rsid w:val="00BF2480"/>
    <w:rsid w:val="00BF51CA"/>
    <w:rsid w:val="00BF6FCA"/>
    <w:rsid w:val="00C03D88"/>
    <w:rsid w:val="00C0411E"/>
    <w:rsid w:val="00C05996"/>
    <w:rsid w:val="00C16759"/>
    <w:rsid w:val="00C2656B"/>
    <w:rsid w:val="00C352B5"/>
    <w:rsid w:val="00C52CFB"/>
    <w:rsid w:val="00C67FDB"/>
    <w:rsid w:val="00C775C3"/>
    <w:rsid w:val="00C9511E"/>
    <w:rsid w:val="00C96277"/>
    <w:rsid w:val="00CA4870"/>
    <w:rsid w:val="00CA78B0"/>
    <w:rsid w:val="00CB677E"/>
    <w:rsid w:val="00CC06D2"/>
    <w:rsid w:val="00CC2F12"/>
    <w:rsid w:val="00CC4B24"/>
    <w:rsid w:val="00CC75FF"/>
    <w:rsid w:val="00CE37AA"/>
    <w:rsid w:val="00D029CB"/>
    <w:rsid w:val="00D1623A"/>
    <w:rsid w:val="00D21361"/>
    <w:rsid w:val="00D27A2C"/>
    <w:rsid w:val="00D51E93"/>
    <w:rsid w:val="00D52CDB"/>
    <w:rsid w:val="00D622B8"/>
    <w:rsid w:val="00D71F05"/>
    <w:rsid w:val="00D72A4C"/>
    <w:rsid w:val="00D744FA"/>
    <w:rsid w:val="00D85C2B"/>
    <w:rsid w:val="00D92FB1"/>
    <w:rsid w:val="00D953E6"/>
    <w:rsid w:val="00DA4AD7"/>
    <w:rsid w:val="00DB1601"/>
    <w:rsid w:val="00DB3728"/>
    <w:rsid w:val="00DB7698"/>
    <w:rsid w:val="00DD57B1"/>
    <w:rsid w:val="00DD623A"/>
    <w:rsid w:val="00DD6FFA"/>
    <w:rsid w:val="00DE085B"/>
    <w:rsid w:val="00DE0A1D"/>
    <w:rsid w:val="00E1047B"/>
    <w:rsid w:val="00E2303F"/>
    <w:rsid w:val="00E46EFA"/>
    <w:rsid w:val="00E504B9"/>
    <w:rsid w:val="00E57AB3"/>
    <w:rsid w:val="00E669F8"/>
    <w:rsid w:val="00E673F6"/>
    <w:rsid w:val="00E72F64"/>
    <w:rsid w:val="00E73A2E"/>
    <w:rsid w:val="00E7405C"/>
    <w:rsid w:val="00E83A7C"/>
    <w:rsid w:val="00E95A57"/>
    <w:rsid w:val="00E97003"/>
    <w:rsid w:val="00EA18F4"/>
    <w:rsid w:val="00EA6776"/>
    <w:rsid w:val="00EB2FB9"/>
    <w:rsid w:val="00EC2174"/>
    <w:rsid w:val="00EC2E96"/>
    <w:rsid w:val="00EE2B31"/>
    <w:rsid w:val="00EF5769"/>
    <w:rsid w:val="00F028C7"/>
    <w:rsid w:val="00F02D97"/>
    <w:rsid w:val="00F03FDE"/>
    <w:rsid w:val="00F100A7"/>
    <w:rsid w:val="00F103F4"/>
    <w:rsid w:val="00F1733B"/>
    <w:rsid w:val="00F2426B"/>
    <w:rsid w:val="00F32B0F"/>
    <w:rsid w:val="00F43FE8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93C"/>
    <w:rsid w:val="00F92C78"/>
    <w:rsid w:val="00F9319D"/>
    <w:rsid w:val="00F93CF9"/>
    <w:rsid w:val="00F93FF4"/>
    <w:rsid w:val="00F9520D"/>
    <w:rsid w:val="00F973A7"/>
    <w:rsid w:val="00FA23AA"/>
    <w:rsid w:val="00FA7D67"/>
    <w:rsid w:val="00FB0D93"/>
    <w:rsid w:val="00FB6411"/>
    <w:rsid w:val="00FB6838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3D0E"/>
  <w15:docId w15:val="{E58E1818-B967-4BF6-A3CF-7ED653B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32DF-EF1D-4024-882A-AF838EF8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Milanka Pokrajac</cp:lastModifiedBy>
  <cp:revision>9</cp:revision>
  <cp:lastPrinted>2018-12-06T09:46:00Z</cp:lastPrinted>
  <dcterms:created xsi:type="dcterms:W3CDTF">2019-11-20T14:40:00Z</dcterms:created>
  <dcterms:modified xsi:type="dcterms:W3CDTF">2019-11-29T10:45:00Z</dcterms:modified>
</cp:coreProperties>
</file>